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B53E0" w:rsidRDefault="00E21164">
      <w:pPr>
        <w:pStyle w:val="Heading1"/>
      </w:pPr>
      <w:r>
        <w:t xml:space="preserve">Guidelines for </w:t>
      </w:r>
      <w:r>
        <w:t>Archival Continuing Education (ACE)</w:t>
      </w:r>
    </w:p>
    <w:p w:rsidR="00CB53E0" w:rsidRDefault="00E21164">
      <w:pPr>
        <w:spacing w:before="100" w:after="100"/>
      </w:pPr>
      <w:r>
        <w:rPr>
          <w:i/>
        </w:rPr>
        <w:t>Adopted by the Council of the Society of American Archivists, &lt;DATE ACCEPTED&gt;.</w:t>
      </w:r>
      <w:r>
        <w:t> </w:t>
      </w:r>
    </w:p>
    <w:p w:rsidR="00CB53E0" w:rsidRDefault="00E21164">
      <w:pPr>
        <w:pStyle w:val="Heading2"/>
      </w:pPr>
      <w:r>
        <w:t>Introduction</w:t>
      </w:r>
    </w:p>
    <w:p w:rsidR="00CB53E0" w:rsidRDefault="00E21164">
      <w:pPr>
        <w:spacing w:before="100" w:after="100"/>
      </w:pPr>
      <w:r>
        <w:t>Archival continuing education (ACE) provides professional archival knowledge beyond the formal credit/hour structure of education institutions. ACE connects with individual archivists in all phases of their careers by delivering basic, intermediate, and ad</w:t>
      </w:r>
      <w:r>
        <w:t>vanced classes in the areas of archival knowledge listed below.</w:t>
      </w:r>
      <w:r>
        <w:rPr>
          <w:vertAlign w:val="superscript"/>
        </w:rPr>
        <w:footnoteReference w:id="1"/>
      </w:r>
    </w:p>
    <w:p w:rsidR="00CB53E0" w:rsidRDefault="00E21164">
      <w:pPr>
        <w:spacing w:before="100" w:after="100"/>
      </w:pPr>
      <w:r>
        <w:t>These guidelines encourage lifelong learning opportunities within the archival community.</w:t>
      </w:r>
    </w:p>
    <w:p w:rsidR="00CB53E0" w:rsidRDefault="00E21164">
      <w:pPr>
        <w:spacing w:before="100" w:after="100"/>
      </w:pPr>
      <w:r>
        <w:t>These guidelines specifically apply to individuals and organizations that provide or sponsor archival</w:t>
      </w:r>
      <w:r>
        <w:t xml:space="preserve"> continuing education. Others will also find them useful, including practicing archivists, employers, archival educators, accrediting agencies, and those who fund, oversee, support, work with, or use archives or who participate in archival continuing educa</w:t>
      </w:r>
      <w:r>
        <w:t>tion.</w:t>
      </w:r>
    </w:p>
    <w:p w:rsidR="00CB53E0" w:rsidRDefault="00E21164">
      <w:pPr>
        <w:pStyle w:val="Heading2"/>
      </w:pPr>
      <w:r>
        <w:rPr>
          <w:sz w:val="28"/>
          <w:szCs w:val="28"/>
        </w:rPr>
        <w:t>Areas of Archival Knowledge</w:t>
      </w:r>
    </w:p>
    <w:p w:rsidR="00CB53E0" w:rsidRDefault="00E21164">
      <w:pPr>
        <w:spacing w:before="100" w:after="100"/>
      </w:pPr>
      <w:r>
        <w:t>Archival continuing education programs should address the areas of archival knowledge delineated by the Society of American Archivists Guidelines for Graduate Programs in Archival Studies (GPAS) and the Academy of Certifie</w:t>
      </w:r>
      <w:r>
        <w:t>d Archivists (ACA):</w:t>
      </w:r>
    </w:p>
    <w:p w:rsidR="00CB53E0" w:rsidRDefault="00E21164">
      <w:pPr>
        <w:numPr>
          <w:ilvl w:val="0"/>
          <w:numId w:val="11"/>
        </w:numPr>
        <w:spacing w:before="280" w:after="120"/>
        <w:ind w:hanging="360"/>
      </w:pPr>
      <w:r>
        <w:rPr>
          <w:b/>
        </w:rPr>
        <w:t>General Archival Knowledge</w:t>
      </w:r>
      <w:r>
        <w:t>: The theory and history of archives and the archival profession; social and cultural history; the records-keeping models; relationships to allied professions; familiarity with professional standards and best p</w:t>
      </w:r>
      <w:r>
        <w:t>ractices; and use of appropriate research methodologies and technological solutions.</w:t>
      </w:r>
    </w:p>
    <w:p w:rsidR="00CB53E0" w:rsidRDefault="00E21164">
      <w:pPr>
        <w:numPr>
          <w:ilvl w:val="0"/>
          <w:numId w:val="11"/>
        </w:numPr>
        <w:spacing w:before="160" w:after="120"/>
        <w:ind w:hanging="360"/>
      </w:pPr>
      <w:r>
        <w:rPr>
          <w:b/>
        </w:rPr>
        <w:t>Selection, Appraisal, and Acquisition</w:t>
      </w:r>
      <w:r>
        <w:t>: The theory, policies, and procedures that archivists use to identify, evaluate, acquire, and authenticate records and papers of endu</w:t>
      </w:r>
      <w:r>
        <w:t>ring value in all media and formats.</w:t>
      </w:r>
    </w:p>
    <w:p w:rsidR="00CB53E0" w:rsidRDefault="00E21164">
      <w:pPr>
        <w:numPr>
          <w:ilvl w:val="0"/>
          <w:numId w:val="11"/>
        </w:numPr>
        <w:spacing w:before="160" w:after="120"/>
        <w:ind w:hanging="360"/>
      </w:pPr>
      <w:r>
        <w:rPr>
          <w:b/>
        </w:rPr>
        <w:t>Arrangement and Description</w:t>
      </w:r>
      <w:r>
        <w:t>: The intellectual and physical organization or verification of archival records and papers in all media and formats, and the development of descriptive tools and systems that provide both con</w:t>
      </w:r>
      <w:r>
        <w:t>trol of and access to collections.</w:t>
      </w:r>
    </w:p>
    <w:p w:rsidR="00CB53E0" w:rsidRDefault="00E21164">
      <w:pPr>
        <w:numPr>
          <w:ilvl w:val="0"/>
          <w:numId w:val="11"/>
        </w:numPr>
        <w:spacing w:before="160" w:after="120"/>
        <w:ind w:hanging="360"/>
      </w:pPr>
      <w:r>
        <w:rPr>
          <w:b/>
        </w:rPr>
        <w:t>Reference Services and Access</w:t>
      </w:r>
      <w:r>
        <w:t>: The development and implementation of policies, procedures, and practices designed to serve the information needs of various user groups, both onsite and virtually.</w:t>
      </w:r>
    </w:p>
    <w:p w:rsidR="00CB53E0" w:rsidRDefault="00E21164">
      <w:pPr>
        <w:numPr>
          <w:ilvl w:val="0"/>
          <w:numId w:val="11"/>
        </w:numPr>
        <w:spacing w:before="160" w:after="120"/>
        <w:ind w:hanging="360"/>
      </w:pPr>
      <w:r>
        <w:rPr>
          <w:b/>
        </w:rPr>
        <w:t>Preservation and Protecti</w:t>
      </w:r>
      <w:r>
        <w:rPr>
          <w:b/>
        </w:rPr>
        <w:t>on</w:t>
      </w:r>
      <w:r>
        <w:t>: The integration and implementation of administration activities to ensure the physical protection and authentication of records and papers in all media and formats and to assure their continued accessibility to researchers.</w:t>
      </w:r>
    </w:p>
    <w:p w:rsidR="00CB53E0" w:rsidRDefault="00E21164">
      <w:pPr>
        <w:numPr>
          <w:ilvl w:val="0"/>
          <w:numId w:val="11"/>
        </w:numPr>
        <w:spacing w:before="160" w:after="120"/>
        <w:ind w:hanging="360"/>
      </w:pPr>
      <w:r>
        <w:rPr>
          <w:b/>
        </w:rPr>
        <w:lastRenderedPageBreak/>
        <w:t>Outreach, Advocacy, and Prom</w:t>
      </w:r>
      <w:r>
        <w:rPr>
          <w:b/>
        </w:rPr>
        <w:t>otion</w:t>
      </w:r>
      <w:r>
        <w:t>: The theories, practices, and technologies that archivists use to create and market programs that promote increased use, resources, visibility, and support for their institutions and collections among a broad range of audiences, both onsite and virtu</w:t>
      </w:r>
      <w:r>
        <w:t>ally.</w:t>
      </w:r>
    </w:p>
    <w:p w:rsidR="00CB53E0" w:rsidRDefault="00E21164">
      <w:pPr>
        <w:numPr>
          <w:ilvl w:val="0"/>
          <w:numId w:val="11"/>
        </w:numPr>
        <w:spacing w:before="160" w:after="120"/>
        <w:ind w:hanging="360"/>
      </w:pPr>
      <w:r>
        <w:rPr>
          <w:b/>
        </w:rPr>
        <w:t>Managing Archival Programs</w:t>
      </w:r>
      <w:r>
        <w:t>: The principles and practices archivists use to facilitate all aspects of archival work through careful planning and administration of the repository and its institutional resources.</w:t>
      </w:r>
    </w:p>
    <w:p w:rsidR="00CB53E0" w:rsidRDefault="00E21164">
      <w:pPr>
        <w:numPr>
          <w:ilvl w:val="0"/>
          <w:numId w:val="11"/>
        </w:numPr>
        <w:spacing w:before="160" w:after="120"/>
        <w:ind w:hanging="360"/>
      </w:pPr>
      <w:r>
        <w:rPr>
          <w:b/>
        </w:rPr>
        <w:t>Ethical and Legal Responsibilities</w:t>
      </w:r>
      <w:r>
        <w:t xml:space="preserve">: The </w:t>
      </w:r>
      <w:r>
        <w:t>laws, regulations, institutional policies, and professional standards that apply to the archival community and its users.</w:t>
      </w:r>
    </w:p>
    <w:p w:rsidR="00CB53E0" w:rsidRDefault="00E21164">
      <w:pPr>
        <w:numPr>
          <w:ilvl w:val="0"/>
          <w:numId w:val="11"/>
        </w:numPr>
        <w:spacing w:before="160" w:after="120"/>
        <w:ind w:hanging="360"/>
      </w:pPr>
      <w:r>
        <w:rPr>
          <w:b/>
        </w:rPr>
        <w:t>Digital Archives:</w:t>
      </w:r>
      <w:r>
        <w:t xml:space="preserve">  As information systems and records transition from paper to digital and the archival profession develops methods to</w:t>
      </w:r>
      <w:r>
        <w:t xml:space="preserve"> manage born-digital records and digital surrogates, archival continuing education programs </w:t>
      </w:r>
      <w:r>
        <w:t xml:space="preserve">must </w:t>
      </w:r>
      <w:r>
        <w:t>address the specific nature, issues, and preservation challenges of digital archives.</w:t>
      </w:r>
    </w:p>
    <w:p w:rsidR="00CB53E0" w:rsidRDefault="00E21164">
      <w:pPr>
        <w:spacing w:before="100" w:after="100"/>
      </w:pPr>
      <w:r>
        <w:t>Also appropriate are classes that address specialized topics such as form</w:t>
      </w:r>
      <w:r>
        <w:t>ats, media, or repository type. All programs should engage the late</w:t>
      </w:r>
      <w:r w:rsidR="00211F12">
        <w:t xml:space="preserve">st developments, technologies, </w:t>
      </w:r>
      <w:proofErr w:type="gramStart"/>
      <w:r>
        <w:t>and  best</w:t>
      </w:r>
      <w:proofErr w:type="gramEnd"/>
      <w:r>
        <w:t xml:space="preserve"> practices in the knowledge areas.</w:t>
      </w:r>
    </w:p>
    <w:p w:rsidR="00CB53E0" w:rsidRDefault="00E21164" w:rsidP="00211F12">
      <w:pPr>
        <w:spacing w:before="240" w:after="100"/>
      </w:pPr>
      <w:r>
        <w:rPr>
          <w:b/>
          <w:sz w:val="28"/>
          <w:szCs w:val="28"/>
        </w:rPr>
        <w:t>Delivery Options, C</w:t>
      </w:r>
      <w:r>
        <w:rPr>
          <w:b/>
          <w:sz w:val="28"/>
          <w:szCs w:val="28"/>
        </w:rPr>
        <w:t>lasses</w:t>
      </w:r>
      <w:r>
        <w:rPr>
          <w:b/>
          <w:sz w:val="28"/>
          <w:szCs w:val="28"/>
        </w:rPr>
        <w:t>, Evaluation</w:t>
      </w:r>
    </w:p>
    <w:p w:rsidR="00CB53E0" w:rsidRDefault="00E21164">
      <w:pPr>
        <w:spacing w:before="100" w:after="100"/>
      </w:pPr>
      <w:r>
        <w:t>Different class formats and venue options exist. Matching the needs of part</w:t>
      </w:r>
      <w:r>
        <w:t>icipants and topics being taught with the optimum format and venue is important. Classes may include, but are not limited to, workshops, seminars, institutes, in-house training programs, and professional association meetings, as well as emerging distance a</w:t>
      </w:r>
      <w:r>
        <w:t>nd online educational delivery mechanisms.</w:t>
      </w:r>
      <w:r>
        <w:rPr>
          <w:vertAlign w:val="superscript"/>
        </w:rPr>
        <w:footnoteReference w:id="2"/>
      </w:r>
      <w:r>
        <w:t xml:space="preserve">  Providing h</w:t>
      </w:r>
      <w:r>
        <w:t xml:space="preserve">igh value, </w:t>
      </w:r>
      <w:r>
        <w:t>low cost, highly accessible continuing education should be the primary goal.</w:t>
      </w:r>
    </w:p>
    <w:p w:rsidR="00CB53E0" w:rsidRDefault="00E21164">
      <w:pPr>
        <w:spacing w:before="100" w:after="100"/>
      </w:pPr>
      <w:r>
        <w:t>Class information and materials must be appropriate to the intended subject, duration, delivery mechanism, and a</w:t>
      </w:r>
      <w:r>
        <w:t>udience.</w:t>
      </w:r>
      <w:r>
        <w:rPr>
          <w:vertAlign w:val="superscript"/>
        </w:rPr>
        <w:footnoteReference w:id="3"/>
      </w:r>
      <w:r>
        <w:t xml:space="preserve"> Class developers will create learning materials based on identified needs</w:t>
      </w:r>
      <w:r>
        <w:rPr>
          <w:vertAlign w:val="superscript"/>
        </w:rPr>
        <w:footnoteReference w:id="4"/>
      </w:r>
      <w:r>
        <w:t xml:space="preserve"> and will incorporate and assess learning outcomes using recognized assessment methods and formal evaluation instruments.  Instructors should be qualified in their fields.</w:t>
      </w:r>
      <w:r>
        <w:rPr>
          <w:vertAlign w:val="superscript"/>
        </w:rPr>
        <w:footnoteReference w:id="5"/>
      </w:r>
    </w:p>
    <w:p w:rsidR="00CB53E0" w:rsidRDefault="00E21164">
      <w:pPr>
        <w:spacing w:before="100" w:after="100"/>
      </w:pPr>
      <w:r>
        <w:t>Instructors and students should evaluate specific continuing education classes.  Developers of individual classes and multi-class programs should evaluate the total range of classes offered over time and by other organizations to avoid needless duplicatio</w:t>
      </w:r>
      <w:r>
        <w:t>n or competition.</w:t>
      </w:r>
      <w:r>
        <w:rPr>
          <w:vertAlign w:val="superscript"/>
        </w:rPr>
        <w:footnoteReference w:id="6"/>
      </w:r>
    </w:p>
    <w:p w:rsidR="00211F12" w:rsidRDefault="00211F12">
      <w:r>
        <w:br w:type="page"/>
      </w:r>
    </w:p>
    <w:p w:rsidR="00CB53E0" w:rsidRDefault="00E21164">
      <w:pPr>
        <w:spacing w:before="100" w:after="100"/>
      </w:pPr>
      <w:r>
        <w:lastRenderedPageBreak/>
        <w:t>Appended to these guidelines are materials intended to serve as a general “toolkit” to aid continuing education providers and users in developing and preparing to attend continuing education offerings:</w:t>
      </w:r>
    </w:p>
    <w:p w:rsidR="00211F12" w:rsidRDefault="00211F12">
      <w:pPr>
        <w:spacing w:before="100" w:after="100"/>
        <w:rPr>
          <w:b/>
          <w:u w:val="single"/>
        </w:rPr>
      </w:pPr>
    </w:p>
    <w:p w:rsidR="00CB53E0" w:rsidRDefault="00E21164" w:rsidP="00211F12">
      <w:pPr>
        <w:spacing w:after="120"/>
      </w:pPr>
      <w:r>
        <w:rPr>
          <w:b/>
          <w:u w:val="single"/>
        </w:rPr>
        <w:t>Appendix 1</w:t>
      </w:r>
      <w:r>
        <w:t>: E</w:t>
      </w:r>
      <w:r>
        <w:t>volution of the ACE Gu</w:t>
      </w:r>
      <w:r>
        <w:t>idelines</w:t>
      </w:r>
    </w:p>
    <w:p w:rsidR="00211F12" w:rsidRDefault="00E21164" w:rsidP="00211F12">
      <w:pPr>
        <w:spacing w:after="120"/>
      </w:pPr>
      <w:r>
        <w:rPr>
          <w:b/>
          <w:u w:val="single"/>
        </w:rPr>
        <w:t>Appendix 2</w:t>
      </w:r>
      <w:r>
        <w:t xml:space="preserve">: </w:t>
      </w:r>
      <w:r>
        <w:t>Continuing Education Needs Identified by A*CENSU</w:t>
      </w:r>
      <w:r w:rsidR="00211F12">
        <w:t xml:space="preserve">S (2004) and </w:t>
      </w:r>
      <w:proofErr w:type="spellStart"/>
      <w:r w:rsidR="00211F12">
        <w:t>ACRL</w:t>
      </w:r>
      <w:proofErr w:type="spellEnd"/>
      <w:r w:rsidR="00211F12">
        <w:t xml:space="preserve"> (2005)</w:t>
      </w:r>
      <w:bookmarkStart w:id="0" w:name="_GoBack"/>
      <w:bookmarkEnd w:id="0"/>
    </w:p>
    <w:p w:rsidR="00211F12" w:rsidRDefault="00E21164" w:rsidP="00211F12">
      <w:pPr>
        <w:spacing w:after="120"/>
      </w:pPr>
      <w:r>
        <w:rPr>
          <w:b/>
          <w:u w:val="single"/>
        </w:rPr>
        <w:t>Appendix 3</w:t>
      </w:r>
      <w:r>
        <w:t xml:space="preserve">: </w:t>
      </w:r>
      <w:r>
        <w:t>Recommended Instructor Qualifications</w:t>
      </w:r>
    </w:p>
    <w:p w:rsidR="00211F12" w:rsidRDefault="00E21164" w:rsidP="00211F12">
      <w:pPr>
        <w:spacing w:after="120"/>
      </w:pPr>
      <w:r>
        <w:rPr>
          <w:b/>
          <w:u w:val="single"/>
        </w:rPr>
        <w:t>Appendix 4</w:t>
      </w:r>
      <w:r>
        <w:t xml:space="preserve">: </w:t>
      </w:r>
      <w:r>
        <w:t>List of Effective Delivery Formats</w:t>
      </w:r>
    </w:p>
    <w:p w:rsidR="00CB53E0" w:rsidRDefault="00E21164" w:rsidP="00211F12">
      <w:pPr>
        <w:spacing w:after="120"/>
      </w:pPr>
      <w:r>
        <w:rPr>
          <w:b/>
          <w:u w:val="single"/>
        </w:rPr>
        <w:t>Appendix 5</w:t>
      </w:r>
      <w:r>
        <w:t xml:space="preserve">: </w:t>
      </w:r>
      <w:r>
        <w:t>Guidelines for Evaluating Continuing Educatio</w:t>
      </w:r>
      <w:r>
        <w:t>n Programs</w:t>
      </w:r>
    </w:p>
    <w:p w:rsidR="00CB53E0" w:rsidRDefault="00E21164" w:rsidP="00211F12">
      <w:pPr>
        <w:numPr>
          <w:ilvl w:val="0"/>
          <w:numId w:val="12"/>
        </w:numPr>
        <w:spacing w:after="120"/>
        <w:ind w:hanging="360"/>
      </w:pPr>
      <w:r>
        <w:t>Sample Evaluation Form for Individual Program and Instructor</w:t>
      </w:r>
    </w:p>
    <w:p w:rsidR="00CB53E0" w:rsidRDefault="00E21164" w:rsidP="00211F12">
      <w:pPr>
        <w:numPr>
          <w:ilvl w:val="0"/>
          <w:numId w:val="12"/>
        </w:numPr>
        <w:spacing w:after="120"/>
        <w:ind w:hanging="360"/>
      </w:pPr>
      <w:r>
        <w:t>Sample Reviewer Evaluation Form</w:t>
      </w:r>
    </w:p>
    <w:p w:rsidR="00CB53E0" w:rsidRDefault="00E21164">
      <w:pPr>
        <w:spacing w:before="100" w:after="100"/>
      </w:pPr>
      <w:r>
        <w:rPr>
          <w:b/>
          <w:u w:val="single"/>
        </w:rPr>
        <w:t xml:space="preserve">Appendix </w:t>
      </w:r>
      <w:r>
        <w:rPr>
          <w:b/>
          <w:u w:val="single"/>
        </w:rPr>
        <w:t>6</w:t>
      </w:r>
      <w:r>
        <w:t>: Curriculum Development (Objectives, Work Application, Measurable Outcomes)</w:t>
      </w:r>
    </w:p>
    <w:p w:rsidR="00211F12" w:rsidRDefault="00211F12"/>
    <w:p w:rsidR="00211F12" w:rsidRDefault="00211F12">
      <w:pPr>
        <w:sectPr w:rsidR="00211F12">
          <w:headerReference w:type="default" r:id="rId7"/>
          <w:pgSz w:w="12240" w:h="15840"/>
          <w:pgMar w:top="1440" w:right="1440" w:bottom="1440" w:left="1440" w:header="720" w:footer="720" w:gutter="0"/>
          <w:pgNumType w:start="1"/>
          <w:cols w:space="720"/>
        </w:sectPr>
      </w:pPr>
    </w:p>
    <w:p w:rsidR="00211F12" w:rsidRDefault="00211F12" w:rsidP="00211F12">
      <w:pPr>
        <w:pStyle w:val="NoSpacing"/>
      </w:pPr>
      <w:bookmarkStart w:id="1" w:name="h.d4si2enrj9z7" w:colFirst="0" w:colLast="0"/>
      <w:bookmarkEnd w:id="1"/>
    </w:p>
    <w:p w:rsidR="00CB53E0" w:rsidRDefault="00E21164">
      <w:pPr>
        <w:pStyle w:val="Heading2"/>
        <w:spacing w:after="240"/>
      </w:pPr>
      <w:r>
        <w:t>Appendix 1:  Evolution of the ACE Guidelines</w:t>
      </w:r>
    </w:p>
    <w:p w:rsidR="00211F12" w:rsidRDefault="00E21164">
      <w:pPr>
        <w:spacing w:before="100" w:after="100" w:line="360" w:lineRule="auto"/>
        <w:sectPr w:rsidR="00211F12">
          <w:headerReference w:type="default" r:id="rId8"/>
          <w:pgSz w:w="12240" w:h="15840"/>
          <w:pgMar w:top="1440" w:right="1440" w:bottom="1440" w:left="1440" w:header="720" w:footer="720" w:gutter="0"/>
          <w:pgNumType w:start="1"/>
          <w:cols w:space="720"/>
        </w:sectPr>
      </w:pPr>
      <w:r>
        <w:t>A field as complex and rapidly changing as the archival profession requires effective continuing education and training. In 1997, SAA adopted “Guidelines for the Development of Post-Appointment and Continuing Education and Training Programs” (PACE) which h</w:t>
      </w:r>
      <w:r>
        <w:t xml:space="preserve">ad as its basis the Guidelines for a Graduate Program in Archival Studies (GPAS) guidelines. The ACE Guidelines resulted from a scheduled review and revision of </w:t>
      </w:r>
      <w:hyperlink r:id="rId9">
        <w:r>
          <w:rPr>
            <w:color w:val="0000FF"/>
            <w:u w:val="single"/>
          </w:rPr>
          <w:t>PACE in 2005 – 2006</w:t>
        </w:r>
      </w:hyperlink>
      <w:r>
        <w:t>. The ACE Guid</w:t>
      </w:r>
      <w:r>
        <w:t>elines adopted by the SAA Council in 2006 incorporate information from SAA’s 2002 GPAS guidelines and the Academy of Certified Archivists’ 2003 Role Delineation Statement Revision.</w:t>
      </w:r>
    </w:p>
    <w:p w:rsidR="00CB53E0" w:rsidRDefault="00E21164">
      <w:pPr>
        <w:spacing w:before="240" w:after="240"/>
      </w:pPr>
      <w:r>
        <w:rPr>
          <w:b/>
          <w:sz w:val="32"/>
          <w:szCs w:val="32"/>
        </w:rPr>
        <w:lastRenderedPageBreak/>
        <w:t>Appendix 2:  Continuing Education Needs</w:t>
      </w:r>
    </w:p>
    <w:p w:rsidR="00CB53E0" w:rsidRDefault="00E21164">
      <w:pPr>
        <w:spacing w:after="240"/>
      </w:pPr>
      <w:r>
        <w:t>Continuing education program de</w:t>
      </w:r>
      <w:r>
        <w:t xml:space="preserve">velopers should create courses and curricula based on identified needs.  A*CENSUS and </w:t>
      </w:r>
      <w:proofErr w:type="spellStart"/>
      <w:r>
        <w:t>ACRL</w:t>
      </w:r>
      <w:proofErr w:type="spellEnd"/>
      <w:r>
        <w:t xml:space="preserve"> surveys conducted in 2004 and 2005 identified these areas of need.</w:t>
      </w:r>
    </w:p>
    <w:p w:rsidR="00CB53E0" w:rsidRDefault="00E21164">
      <w:pPr>
        <w:spacing w:after="240"/>
      </w:pPr>
      <w:proofErr w:type="gramStart"/>
      <w:r>
        <w:t>Participants who completed the “Archival Census and Education Needs Survey in the U.S.”</w:t>
      </w:r>
      <w:proofErr w:type="gramEnd"/>
      <w:r>
        <w:t xml:space="preserve"> (A*CENSUS)</w:t>
      </w:r>
      <w:r>
        <w:t xml:space="preserve">, an Institute of Museum and Library Services-funded survey conducted by SAA and others in Spring 2004, indicated their “most desired” continuing education topics in this order: </w:t>
      </w:r>
    </w:p>
    <w:p w:rsidR="00CB53E0" w:rsidRDefault="00E21164">
      <w:pPr>
        <w:numPr>
          <w:ilvl w:val="0"/>
          <w:numId w:val="2"/>
        </w:numPr>
        <w:ind w:hanging="360"/>
        <w:contextualSpacing/>
      </w:pPr>
      <w:r>
        <w:t xml:space="preserve">Digitization </w:t>
      </w:r>
    </w:p>
    <w:p w:rsidR="00CB53E0" w:rsidRDefault="00E21164">
      <w:pPr>
        <w:numPr>
          <w:ilvl w:val="0"/>
          <w:numId w:val="2"/>
        </w:numPr>
        <w:ind w:hanging="360"/>
        <w:contextualSpacing/>
      </w:pPr>
      <w:r>
        <w:t xml:space="preserve">Electronic Records – Preservation and Storage </w:t>
      </w:r>
    </w:p>
    <w:p w:rsidR="00CB53E0" w:rsidRDefault="00E21164">
      <w:pPr>
        <w:numPr>
          <w:ilvl w:val="0"/>
          <w:numId w:val="2"/>
        </w:numPr>
        <w:ind w:hanging="360"/>
        <w:contextualSpacing/>
      </w:pPr>
      <w:r>
        <w:t xml:space="preserve">Preservation </w:t>
      </w:r>
    </w:p>
    <w:p w:rsidR="00CB53E0" w:rsidRDefault="00E21164">
      <w:pPr>
        <w:numPr>
          <w:ilvl w:val="0"/>
          <w:numId w:val="2"/>
        </w:numPr>
        <w:ind w:hanging="360"/>
        <w:contextualSpacing/>
      </w:pPr>
      <w:r>
        <w:t>Di</w:t>
      </w:r>
      <w:r>
        <w:t xml:space="preserve">gital/Media Asset Management </w:t>
      </w:r>
    </w:p>
    <w:p w:rsidR="00CB53E0" w:rsidRDefault="00E21164">
      <w:pPr>
        <w:numPr>
          <w:ilvl w:val="0"/>
          <w:numId w:val="2"/>
        </w:numPr>
        <w:ind w:hanging="360"/>
        <w:contextualSpacing/>
      </w:pPr>
      <w:r>
        <w:t xml:space="preserve">Copyright </w:t>
      </w:r>
    </w:p>
    <w:p w:rsidR="00CB53E0" w:rsidRDefault="00E21164">
      <w:pPr>
        <w:numPr>
          <w:ilvl w:val="0"/>
          <w:numId w:val="2"/>
        </w:numPr>
        <w:ind w:hanging="360"/>
        <w:contextualSpacing/>
      </w:pPr>
      <w:r>
        <w:t xml:space="preserve">Conservation </w:t>
      </w:r>
    </w:p>
    <w:p w:rsidR="00CB53E0" w:rsidRDefault="00E21164">
      <w:pPr>
        <w:numPr>
          <w:ilvl w:val="0"/>
          <w:numId w:val="2"/>
        </w:numPr>
        <w:ind w:hanging="360"/>
        <w:contextualSpacing/>
      </w:pPr>
      <w:r>
        <w:t xml:space="preserve">Visual Materials (Architectural Records) </w:t>
      </w:r>
    </w:p>
    <w:p w:rsidR="00CB53E0" w:rsidRDefault="00E21164">
      <w:pPr>
        <w:numPr>
          <w:ilvl w:val="0"/>
          <w:numId w:val="2"/>
        </w:numPr>
        <w:ind w:hanging="360"/>
        <w:contextualSpacing/>
      </w:pPr>
      <w:r>
        <w:t xml:space="preserve">Electronic Records – Description and Access </w:t>
      </w:r>
    </w:p>
    <w:p w:rsidR="00CB53E0" w:rsidRDefault="00E21164">
      <w:pPr>
        <w:numPr>
          <w:ilvl w:val="0"/>
          <w:numId w:val="2"/>
        </w:numPr>
        <w:ind w:hanging="360"/>
        <w:contextualSpacing/>
      </w:pPr>
      <w:r>
        <w:t xml:space="preserve">Electronic Records – Appraisal and Accessioning </w:t>
      </w:r>
    </w:p>
    <w:p w:rsidR="00CB53E0" w:rsidRDefault="00E21164">
      <w:pPr>
        <w:numPr>
          <w:ilvl w:val="0"/>
          <w:numId w:val="2"/>
        </w:numPr>
        <w:ind w:hanging="360"/>
        <w:contextualSpacing/>
      </w:pPr>
      <w:r>
        <w:t xml:space="preserve">Grants </w:t>
      </w:r>
    </w:p>
    <w:p w:rsidR="00CB53E0" w:rsidRDefault="00E21164">
      <w:pPr>
        <w:numPr>
          <w:ilvl w:val="0"/>
          <w:numId w:val="2"/>
        </w:numPr>
        <w:ind w:hanging="360"/>
        <w:contextualSpacing/>
      </w:pPr>
      <w:r>
        <w:t>Website</w:t>
      </w:r>
      <w:r>
        <w:t xml:space="preserve"> Creation/Management </w:t>
      </w:r>
    </w:p>
    <w:p w:rsidR="00CB53E0" w:rsidRDefault="00E21164">
      <w:pPr>
        <w:numPr>
          <w:ilvl w:val="0"/>
          <w:numId w:val="2"/>
        </w:numPr>
        <w:ind w:hanging="360"/>
        <w:contextualSpacing/>
      </w:pPr>
      <w:r>
        <w:t xml:space="preserve">Encoded Archival Description (EAD) </w:t>
      </w:r>
    </w:p>
    <w:p w:rsidR="00CB53E0" w:rsidRDefault="00E21164">
      <w:pPr>
        <w:numPr>
          <w:ilvl w:val="0"/>
          <w:numId w:val="2"/>
        </w:numPr>
        <w:ind w:hanging="360"/>
        <w:contextualSpacing/>
      </w:pPr>
      <w:r>
        <w:t xml:space="preserve">Exhibits </w:t>
      </w:r>
    </w:p>
    <w:p w:rsidR="00CB53E0" w:rsidRDefault="00E21164">
      <w:pPr>
        <w:numPr>
          <w:ilvl w:val="0"/>
          <w:numId w:val="2"/>
        </w:numPr>
        <w:ind w:hanging="360"/>
        <w:contextualSpacing/>
      </w:pPr>
      <w:r>
        <w:t xml:space="preserve">Cataloging </w:t>
      </w:r>
    </w:p>
    <w:p w:rsidR="00CB53E0" w:rsidRDefault="00E21164">
      <w:pPr>
        <w:numPr>
          <w:ilvl w:val="0"/>
          <w:numId w:val="2"/>
        </w:numPr>
        <w:ind w:hanging="360"/>
        <w:contextualSpacing/>
      </w:pPr>
      <w:r>
        <w:t xml:space="preserve">Records Management </w:t>
      </w:r>
    </w:p>
    <w:p w:rsidR="00CB53E0" w:rsidRDefault="00E21164">
      <w:pPr>
        <w:numPr>
          <w:ilvl w:val="0"/>
          <w:numId w:val="2"/>
        </w:numPr>
        <w:ind w:hanging="360"/>
        <w:contextualSpacing/>
      </w:pPr>
      <w:r>
        <w:t xml:space="preserve">Metadata </w:t>
      </w:r>
    </w:p>
    <w:p w:rsidR="00CB53E0" w:rsidRDefault="00E21164">
      <w:pPr>
        <w:numPr>
          <w:ilvl w:val="0"/>
          <w:numId w:val="2"/>
        </w:numPr>
        <w:ind w:hanging="360"/>
        <w:contextualSpacing/>
      </w:pPr>
      <w:r>
        <w:t xml:space="preserve">Acquisition and Appraisal </w:t>
      </w:r>
    </w:p>
    <w:p w:rsidR="00CB53E0" w:rsidRDefault="00E21164">
      <w:pPr>
        <w:numPr>
          <w:ilvl w:val="0"/>
          <w:numId w:val="2"/>
        </w:numPr>
        <w:ind w:hanging="360"/>
        <w:contextualSpacing/>
      </w:pPr>
      <w:r>
        <w:t xml:space="preserve">Arrangement </w:t>
      </w:r>
    </w:p>
    <w:p w:rsidR="00CB53E0" w:rsidRDefault="00E21164">
      <w:pPr>
        <w:numPr>
          <w:ilvl w:val="0"/>
          <w:numId w:val="2"/>
        </w:numPr>
        <w:ind w:hanging="360"/>
        <w:contextualSpacing/>
      </w:pPr>
      <w:r>
        <w:t xml:space="preserve">Moving Images (Film, Video) </w:t>
      </w:r>
    </w:p>
    <w:p w:rsidR="00CB53E0" w:rsidRDefault="00E21164">
      <w:pPr>
        <w:numPr>
          <w:ilvl w:val="0"/>
          <w:numId w:val="2"/>
        </w:numPr>
        <w:spacing w:after="240"/>
        <w:ind w:hanging="360"/>
      </w:pPr>
      <w:r>
        <w:t xml:space="preserve">Description </w:t>
      </w:r>
    </w:p>
    <w:p w:rsidR="00CB53E0" w:rsidRDefault="00E21164">
      <w:pPr>
        <w:spacing w:after="240"/>
      </w:pPr>
      <w:r>
        <w:t xml:space="preserve">In </w:t>
      </w:r>
      <w:proofErr w:type="gramStart"/>
      <w:r>
        <w:t>Fall</w:t>
      </w:r>
      <w:proofErr w:type="gramEnd"/>
      <w:r>
        <w:t xml:space="preserve"> 2005, the Continuing Education Committee of the Association for College and Re</w:t>
      </w:r>
      <w:r>
        <w:t>search Libraries (</w:t>
      </w:r>
      <w:proofErr w:type="spellStart"/>
      <w:r>
        <w:t>ACRL</w:t>
      </w:r>
      <w:proofErr w:type="spellEnd"/>
      <w:r>
        <w:t>) Science and Technology Section (</w:t>
      </w:r>
      <w:proofErr w:type="spellStart"/>
      <w:r>
        <w:t>STS</w:t>
      </w:r>
      <w:proofErr w:type="spellEnd"/>
      <w:r>
        <w:t xml:space="preserve">) conducted a survey in collaboration with the Special Libraries Association – SciTech Division and the American Society for Engineering Education - Engineering Libraries Division. </w:t>
      </w:r>
    </w:p>
    <w:p w:rsidR="00CB53E0" w:rsidRDefault="00E21164">
      <w:pPr>
        <w:spacing w:after="240"/>
      </w:pPr>
      <w:r>
        <w:t>Respondents' to</w:t>
      </w:r>
      <w:r>
        <w:t xml:space="preserve">pics of greatest interest fell into these broad categories: </w:t>
      </w:r>
    </w:p>
    <w:p w:rsidR="00CB53E0" w:rsidRDefault="00E21164">
      <w:pPr>
        <w:numPr>
          <w:ilvl w:val="0"/>
          <w:numId w:val="5"/>
        </w:numPr>
        <w:ind w:hanging="360"/>
        <w:contextualSpacing/>
      </w:pPr>
      <w:r>
        <w:t xml:space="preserve">New Technologies </w:t>
      </w:r>
    </w:p>
    <w:p w:rsidR="00CB53E0" w:rsidRDefault="00E21164">
      <w:pPr>
        <w:numPr>
          <w:ilvl w:val="0"/>
          <w:numId w:val="5"/>
        </w:numPr>
        <w:ind w:hanging="360"/>
        <w:contextualSpacing/>
      </w:pPr>
      <w:r>
        <w:t xml:space="preserve">Professional Development and Keeping Current </w:t>
      </w:r>
    </w:p>
    <w:p w:rsidR="00CB53E0" w:rsidRDefault="00E21164">
      <w:pPr>
        <w:numPr>
          <w:ilvl w:val="0"/>
          <w:numId w:val="5"/>
        </w:numPr>
        <w:ind w:hanging="360"/>
        <w:contextualSpacing/>
      </w:pPr>
      <w:r>
        <w:t xml:space="preserve">Institutional Repositories / Digital Archives </w:t>
      </w:r>
    </w:p>
    <w:p w:rsidR="00CB53E0" w:rsidRDefault="00E21164">
      <w:pPr>
        <w:numPr>
          <w:ilvl w:val="0"/>
          <w:numId w:val="5"/>
        </w:numPr>
        <w:ind w:hanging="360"/>
        <w:contextualSpacing/>
      </w:pPr>
      <w:r>
        <w:t xml:space="preserve">Information Literacy / Instruction </w:t>
      </w:r>
    </w:p>
    <w:p w:rsidR="00211F12" w:rsidRDefault="00E21164" w:rsidP="008B0231">
      <w:pPr>
        <w:numPr>
          <w:ilvl w:val="0"/>
          <w:numId w:val="5"/>
        </w:numPr>
        <w:ind w:hanging="360"/>
        <w:contextualSpacing/>
      </w:pPr>
      <w:r>
        <w:t>Scholarly Publishing - High Cost of Serials - Al</w:t>
      </w:r>
      <w:r>
        <w:t xml:space="preserve">ternative Publishing Models </w:t>
      </w:r>
    </w:p>
    <w:p w:rsidR="00211F12" w:rsidRDefault="00E21164" w:rsidP="00211F12">
      <w:pPr>
        <w:numPr>
          <w:ilvl w:val="0"/>
          <w:numId w:val="5"/>
        </w:numPr>
        <w:ind w:hanging="360"/>
        <w:contextualSpacing/>
        <w:sectPr w:rsidR="00211F12">
          <w:headerReference w:type="default" r:id="rId10"/>
          <w:pgSz w:w="12240" w:h="15840"/>
          <w:pgMar w:top="1440" w:right="1440" w:bottom="1440" w:left="1440" w:header="720" w:footer="720" w:gutter="0"/>
          <w:pgNumType w:start="1"/>
          <w:cols w:space="720"/>
        </w:sectPr>
      </w:pPr>
      <w:r>
        <w:t xml:space="preserve">Marketing and Outreach </w:t>
      </w:r>
    </w:p>
    <w:p w:rsidR="00211F12" w:rsidRDefault="00211F12">
      <w:pPr>
        <w:spacing w:after="240"/>
        <w:rPr>
          <w:b/>
          <w:sz w:val="32"/>
          <w:szCs w:val="32"/>
        </w:rPr>
      </w:pPr>
    </w:p>
    <w:p w:rsidR="00CB53E0" w:rsidRDefault="00E21164">
      <w:pPr>
        <w:spacing w:after="240"/>
      </w:pPr>
      <w:r>
        <w:rPr>
          <w:b/>
          <w:sz w:val="32"/>
          <w:szCs w:val="32"/>
        </w:rPr>
        <w:t>Appendix 3:  Recommended Guidelines for Evaluating Instructor Qualifications</w:t>
      </w:r>
    </w:p>
    <w:p w:rsidR="00CB53E0" w:rsidRDefault="00E21164">
      <w:pPr>
        <w:spacing w:after="240"/>
      </w:pPr>
      <w:r>
        <w:t xml:space="preserve">Instructors should be experts in their field, possessing mastery of the subject being taught.  </w:t>
      </w:r>
    </w:p>
    <w:p w:rsidR="00CB53E0" w:rsidRDefault="00E21164">
      <w:pPr>
        <w:spacing w:after="240"/>
      </w:pPr>
      <w:r>
        <w:t>This expertise may be indica</w:t>
      </w:r>
      <w:r>
        <w:t xml:space="preserve">ted by an appropriate combination of elements such as: </w:t>
      </w:r>
    </w:p>
    <w:p w:rsidR="00CB53E0" w:rsidRDefault="00E21164">
      <w:pPr>
        <w:numPr>
          <w:ilvl w:val="0"/>
          <w:numId w:val="7"/>
        </w:numPr>
        <w:ind w:hanging="360"/>
        <w:contextualSpacing/>
      </w:pPr>
      <w:r>
        <w:t xml:space="preserve">Experience in archival practice in the given subject matter. </w:t>
      </w:r>
    </w:p>
    <w:p w:rsidR="00CB53E0" w:rsidRDefault="00E21164">
      <w:pPr>
        <w:numPr>
          <w:ilvl w:val="0"/>
          <w:numId w:val="7"/>
        </w:numPr>
        <w:ind w:hanging="360"/>
        <w:contextualSpacing/>
      </w:pPr>
      <w:r>
        <w:t xml:space="preserve">Publications. </w:t>
      </w:r>
    </w:p>
    <w:p w:rsidR="00CB53E0" w:rsidRDefault="00E21164">
      <w:pPr>
        <w:numPr>
          <w:ilvl w:val="0"/>
          <w:numId w:val="7"/>
        </w:numPr>
        <w:ind w:hanging="360"/>
        <w:contextualSpacing/>
      </w:pPr>
      <w:r>
        <w:t xml:space="preserve">A record of presentations at conferences. </w:t>
      </w:r>
    </w:p>
    <w:p w:rsidR="00CB53E0" w:rsidRDefault="00E21164">
      <w:pPr>
        <w:numPr>
          <w:ilvl w:val="0"/>
          <w:numId w:val="7"/>
        </w:numPr>
        <w:ind w:hanging="360"/>
        <w:contextualSpacing/>
      </w:pPr>
      <w:r>
        <w:t xml:space="preserve">Work in related professional associations. </w:t>
      </w:r>
    </w:p>
    <w:p w:rsidR="00CB53E0" w:rsidRDefault="00E21164">
      <w:pPr>
        <w:numPr>
          <w:ilvl w:val="0"/>
          <w:numId w:val="7"/>
        </w:numPr>
        <w:ind w:hanging="360"/>
        <w:contextualSpacing/>
      </w:pPr>
      <w:r>
        <w:t xml:space="preserve">Formal academic credentials. </w:t>
      </w:r>
    </w:p>
    <w:p w:rsidR="00CB53E0" w:rsidRDefault="00E21164">
      <w:pPr>
        <w:numPr>
          <w:ilvl w:val="0"/>
          <w:numId w:val="7"/>
        </w:numPr>
        <w:spacing w:after="240"/>
        <w:ind w:hanging="360"/>
        <w:contextualSpacing/>
      </w:pPr>
      <w:r>
        <w:t xml:space="preserve">Other demonstrable indications of advanced knowledge. </w:t>
      </w:r>
    </w:p>
    <w:p w:rsidR="00CB53E0" w:rsidRDefault="00E21164">
      <w:pPr>
        <w:spacing w:after="240"/>
      </w:pPr>
      <w:r>
        <w:t xml:space="preserve">Instructors should demonstrate an ability to teach effectively.  This should be confirmed by a successful teaching record (based on student, peer, or reviewer evaluations). </w:t>
      </w:r>
    </w:p>
    <w:p w:rsidR="00CB53E0" w:rsidRDefault="00E21164">
      <w:pPr>
        <w:spacing w:after="240"/>
      </w:pPr>
      <w:r>
        <w:t>Another measure of instruct</w:t>
      </w:r>
      <w:r>
        <w:t xml:space="preserve">or qualification is completion of instructor training geared toward adult education.  When evaluating this qualification in an instructor, the provider should consider the wide range of venues and structures that are appropriate for such education.  Adult </w:t>
      </w:r>
      <w:r>
        <w:t>education teaching skills include the ability to conceptualize and deliver course content via distance education and to research and write a formal manual.</w:t>
      </w:r>
    </w:p>
    <w:p w:rsidR="00211F12" w:rsidRDefault="00211F12">
      <w:pPr>
        <w:spacing w:after="240"/>
        <w:rPr>
          <w:b/>
          <w:sz w:val="32"/>
          <w:szCs w:val="32"/>
        </w:rPr>
        <w:sectPr w:rsidR="00211F12">
          <w:headerReference w:type="default" r:id="rId11"/>
          <w:pgSz w:w="12240" w:h="15840"/>
          <w:pgMar w:top="1440" w:right="1440" w:bottom="1440" w:left="1440" w:header="720" w:footer="720" w:gutter="0"/>
          <w:pgNumType w:start="1"/>
          <w:cols w:space="720"/>
        </w:sectPr>
      </w:pPr>
    </w:p>
    <w:p w:rsidR="00CB53E0" w:rsidRDefault="00E21164">
      <w:pPr>
        <w:spacing w:after="240"/>
      </w:pPr>
      <w:r>
        <w:rPr>
          <w:b/>
          <w:sz w:val="32"/>
          <w:szCs w:val="32"/>
        </w:rPr>
        <w:lastRenderedPageBreak/>
        <w:t>Appendix 4:  Effective Delivery Formats</w:t>
      </w:r>
    </w:p>
    <w:p w:rsidR="00CB53E0" w:rsidRDefault="00E21164">
      <w:pPr>
        <w:spacing w:after="240"/>
      </w:pPr>
      <w:r>
        <w:rPr>
          <w:b/>
          <w:sz w:val="28"/>
          <w:szCs w:val="28"/>
        </w:rPr>
        <w:t>Face-to-Face Delivery Formats</w:t>
      </w:r>
      <w:r>
        <w:rPr>
          <w:vertAlign w:val="superscript"/>
        </w:rPr>
        <w:footnoteReference w:id="7"/>
      </w:r>
      <w:r>
        <w:rPr>
          <w:b/>
          <w:sz w:val="28"/>
          <w:szCs w:val="28"/>
        </w:rPr>
        <w:t xml:space="preserve"> </w:t>
      </w:r>
    </w:p>
    <w:p w:rsidR="00CB53E0" w:rsidRDefault="00E21164">
      <w:pPr>
        <w:spacing w:after="240"/>
      </w:pPr>
      <w:r>
        <w:rPr>
          <w:b/>
        </w:rPr>
        <w:t>Workshop (W)</w:t>
      </w:r>
      <w:r>
        <w:t>:  A relative</w:t>
      </w:r>
      <w:r>
        <w:t xml:space="preserve">ly short-term, intensive, problem-focused learning experience that actively involves participants in the identification and analysis of problems and in the development and evaluation of solutions. </w:t>
      </w:r>
    </w:p>
    <w:p w:rsidR="00CB53E0" w:rsidRDefault="00E21164">
      <w:pPr>
        <w:spacing w:after="240"/>
      </w:pPr>
      <w:r>
        <w:rPr>
          <w:b/>
        </w:rPr>
        <w:t>Seminar (S):</w:t>
      </w:r>
      <w:r>
        <w:t xml:space="preserve">  A session or series of sessions in which a g</w:t>
      </w:r>
      <w:r>
        <w:t xml:space="preserve">roup of experienced people meet with one or more knowledgeable resource persons to discuss a given content area. </w:t>
      </w:r>
    </w:p>
    <w:p w:rsidR="00CB53E0" w:rsidRDefault="00E21164">
      <w:pPr>
        <w:spacing w:after="240"/>
      </w:pPr>
      <w:r>
        <w:rPr>
          <w:b/>
        </w:rPr>
        <w:t>Institute (</w:t>
      </w:r>
      <w:proofErr w:type="gramStart"/>
      <w:r>
        <w:rPr>
          <w:b/>
        </w:rPr>
        <w:t>I</w:t>
      </w:r>
      <w:proofErr w:type="gramEnd"/>
      <w:r>
        <w:rPr>
          <w:b/>
        </w:rPr>
        <w:t>):</w:t>
      </w:r>
      <w:r>
        <w:t xml:space="preserve">  A short-term, often residential program that fosters intensive learning on a well-defined topic.  New material is presented to</w:t>
      </w:r>
      <w:r>
        <w:t xml:space="preserve"> add to the knowledge which the participants already have on the subject. </w:t>
      </w:r>
    </w:p>
    <w:p w:rsidR="00CB53E0" w:rsidRDefault="00E21164">
      <w:pPr>
        <w:spacing w:after="240"/>
      </w:pPr>
      <w:r>
        <w:rPr>
          <w:b/>
        </w:rPr>
        <w:t>Clinic (C):</w:t>
      </w:r>
      <w:r>
        <w:t xml:space="preserve">  A short-term program that emphasizes diagnosis and treatment of problems that participants bring to the session.  </w:t>
      </w:r>
      <w:proofErr w:type="gramStart"/>
      <w:r>
        <w:t>Experts available at the clinic, rather than participants themselves, have primary responsibility for diagnosing problems and prescribing tr</w:t>
      </w:r>
      <w:r>
        <w:t>eatment.</w:t>
      </w:r>
      <w:proofErr w:type="gramEnd"/>
      <w:r>
        <w:t xml:space="preserve"> </w:t>
      </w:r>
    </w:p>
    <w:p w:rsidR="00CB53E0" w:rsidRDefault="00E21164">
      <w:pPr>
        <w:spacing w:after="240"/>
      </w:pPr>
      <w:r>
        <w:rPr>
          <w:b/>
        </w:rPr>
        <w:t>Short course (SC):</w:t>
      </w:r>
      <w:r>
        <w:t xml:space="preserve">  An abbreviated, more focused version of the class typically found in colleges and universities.  Designed to update or deepen the knowledge of those in a particular field, the expert dominates the sessions because it focuses o</w:t>
      </w:r>
      <w:r>
        <w:t xml:space="preserve">n communication and on acquisition of information within a short time. </w:t>
      </w:r>
    </w:p>
    <w:p w:rsidR="00CB53E0" w:rsidRDefault="00E21164">
      <w:pPr>
        <w:spacing w:after="240"/>
      </w:pPr>
      <w:r>
        <w:rPr>
          <w:b/>
        </w:rPr>
        <w:t xml:space="preserve">Advantages of Each Format </w:t>
      </w:r>
    </w:p>
    <w:p w:rsidR="00CB53E0" w:rsidRDefault="00E21164">
      <w:pPr>
        <w:numPr>
          <w:ilvl w:val="0"/>
          <w:numId w:val="3"/>
        </w:numPr>
        <w:ind w:hanging="360"/>
        <w:contextualSpacing/>
      </w:pPr>
      <w:r>
        <w:t xml:space="preserve">Many people can attend (W/S/SC) </w:t>
      </w:r>
    </w:p>
    <w:p w:rsidR="00CB53E0" w:rsidRDefault="00E21164">
      <w:pPr>
        <w:numPr>
          <w:ilvl w:val="0"/>
          <w:numId w:val="3"/>
        </w:numPr>
        <w:ind w:hanging="360"/>
        <w:contextualSpacing/>
      </w:pPr>
      <w:r>
        <w:t xml:space="preserve">Very transportable (W/S/I/CS) </w:t>
      </w:r>
    </w:p>
    <w:p w:rsidR="00CB53E0" w:rsidRDefault="00E21164">
      <w:pPr>
        <w:numPr>
          <w:ilvl w:val="0"/>
          <w:numId w:val="3"/>
        </w:numPr>
        <w:ind w:hanging="360"/>
        <w:contextualSpacing/>
      </w:pPr>
      <w:r>
        <w:t xml:space="preserve">Immediate application of results of problem-solving efforts (W/C) </w:t>
      </w:r>
    </w:p>
    <w:p w:rsidR="00CB53E0" w:rsidRDefault="00E21164">
      <w:pPr>
        <w:numPr>
          <w:ilvl w:val="0"/>
          <w:numId w:val="3"/>
        </w:numPr>
        <w:ind w:hanging="360"/>
        <w:contextualSpacing/>
      </w:pPr>
      <w:r>
        <w:t>People interact in novel w</w:t>
      </w:r>
      <w:r>
        <w:t xml:space="preserve">ays (W/I) </w:t>
      </w:r>
    </w:p>
    <w:p w:rsidR="00CB53E0" w:rsidRDefault="00E21164">
      <w:pPr>
        <w:numPr>
          <w:ilvl w:val="0"/>
          <w:numId w:val="3"/>
        </w:numPr>
        <w:ind w:hanging="360"/>
        <w:contextualSpacing/>
      </w:pPr>
      <w:r>
        <w:t xml:space="preserve">Isolation from distractions of day-to-day concerns (W/S/I/SC) </w:t>
      </w:r>
    </w:p>
    <w:p w:rsidR="00CB53E0" w:rsidRDefault="00E21164">
      <w:pPr>
        <w:numPr>
          <w:ilvl w:val="0"/>
          <w:numId w:val="3"/>
        </w:numPr>
        <w:ind w:hanging="360"/>
        <w:contextualSpacing/>
      </w:pPr>
      <w:r>
        <w:t xml:space="preserve">Problem-solving skills refined (W/C) </w:t>
      </w:r>
    </w:p>
    <w:p w:rsidR="00CB53E0" w:rsidRDefault="00E21164">
      <w:pPr>
        <w:numPr>
          <w:ilvl w:val="0"/>
          <w:numId w:val="3"/>
        </w:numPr>
        <w:spacing w:after="240"/>
        <w:ind w:hanging="360"/>
        <w:contextualSpacing/>
      </w:pPr>
      <w:r>
        <w:t xml:space="preserve">Little need to reorganize facilities and equipment once they are in place (W/S/I) </w:t>
      </w:r>
    </w:p>
    <w:p w:rsidR="00CB53E0" w:rsidRDefault="00E21164">
      <w:pPr>
        <w:spacing w:after="240"/>
      </w:pPr>
      <w:r>
        <w:rPr>
          <w:b/>
        </w:rPr>
        <w:t xml:space="preserve">Limitations of Each Format </w:t>
      </w:r>
    </w:p>
    <w:p w:rsidR="00CB53E0" w:rsidRDefault="00E21164">
      <w:pPr>
        <w:numPr>
          <w:ilvl w:val="0"/>
          <w:numId w:val="6"/>
        </w:numPr>
        <w:ind w:hanging="360"/>
        <w:contextualSpacing/>
      </w:pPr>
      <w:r>
        <w:t xml:space="preserve">Fatigue and information overload are always possible (W/S) </w:t>
      </w:r>
    </w:p>
    <w:p w:rsidR="00CB53E0" w:rsidRDefault="00E21164">
      <w:pPr>
        <w:numPr>
          <w:ilvl w:val="0"/>
          <w:numId w:val="6"/>
        </w:numPr>
        <w:ind w:hanging="360"/>
        <w:contextualSpacing/>
      </w:pPr>
      <w:r>
        <w:t xml:space="preserve">Mid-stream corrective action difficult when learner problems occur (W) </w:t>
      </w:r>
    </w:p>
    <w:p w:rsidR="00CB53E0" w:rsidRDefault="00E21164">
      <w:pPr>
        <w:numPr>
          <w:ilvl w:val="0"/>
          <w:numId w:val="6"/>
        </w:numPr>
        <w:ind w:hanging="360"/>
        <w:contextualSpacing/>
      </w:pPr>
      <w:r>
        <w:t xml:space="preserve">Teacher burnout (W/SC) </w:t>
      </w:r>
    </w:p>
    <w:p w:rsidR="00CB53E0" w:rsidRDefault="00E21164">
      <w:pPr>
        <w:numPr>
          <w:ilvl w:val="0"/>
          <w:numId w:val="6"/>
        </w:numPr>
        <w:ind w:hanging="360"/>
        <w:contextualSpacing/>
      </w:pPr>
      <w:r>
        <w:t xml:space="preserve">Little flexibility if timing is not maintained (W/SC) </w:t>
      </w:r>
    </w:p>
    <w:p w:rsidR="00CB53E0" w:rsidRDefault="00E21164">
      <w:pPr>
        <w:numPr>
          <w:ilvl w:val="0"/>
          <w:numId w:val="6"/>
        </w:numPr>
        <w:ind w:hanging="360"/>
        <w:contextualSpacing/>
      </w:pPr>
      <w:r>
        <w:t>Individual feedback to learners rarely possib</w:t>
      </w:r>
      <w:r>
        <w:t xml:space="preserve">le (W/S) </w:t>
      </w:r>
    </w:p>
    <w:p w:rsidR="00CB53E0" w:rsidRDefault="00E21164">
      <w:pPr>
        <w:numPr>
          <w:ilvl w:val="0"/>
          <w:numId w:val="6"/>
        </w:numPr>
        <w:spacing w:after="240"/>
        <w:ind w:hanging="360"/>
        <w:contextualSpacing/>
      </w:pPr>
      <w:r>
        <w:t xml:space="preserve">Learners are not always effective participants (W/I/C/SC) </w:t>
      </w:r>
    </w:p>
    <w:p w:rsidR="00CB53E0" w:rsidRDefault="00E21164">
      <w:pPr>
        <w:spacing w:after="240"/>
      </w:pPr>
      <w:r>
        <w:rPr>
          <w:b/>
        </w:rPr>
        <w:lastRenderedPageBreak/>
        <w:t xml:space="preserve">Criteria for Selecting a Format  </w:t>
      </w:r>
    </w:p>
    <w:p w:rsidR="00CB53E0" w:rsidRDefault="00E21164">
      <w:pPr>
        <w:numPr>
          <w:ilvl w:val="0"/>
          <w:numId w:val="8"/>
        </w:numPr>
        <w:ind w:hanging="360"/>
        <w:contextualSpacing/>
      </w:pPr>
      <w:r>
        <w:t xml:space="preserve">Learning objectives emphasize problem solving (W) </w:t>
      </w:r>
    </w:p>
    <w:p w:rsidR="00CB53E0" w:rsidRDefault="00E21164">
      <w:pPr>
        <w:numPr>
          <w:ilvl w:val="0"/>
          <w:numId w:val="8"/>
        </w:numPr>
        <w:ind w:hanging="360"/>
        <w:contextualSpacing/>
      </w:pPr>
      <w:r>
        <w:t xml:space="preserve">Solving problems that are relatively complex and generalized and that require intensive analysis (W) </w:t>
      </w:r>
    </w:p>
    <w:p w:rsidR="00CB53E0" w:rsidRDefault="00E21164">
      <w:pPr>
        <w:numPr>
          <w:ilvl w:val="0"/>
          <w:numId w:val="8"/>
        </w:numPr>
        <w:ind w:hanging="360"/>
        <w:contextualSpacing/>
      </w:pPr>
      <w:r>
        <w:t xml:space="preserve">Resources necessary to engage in problem solving are available where they can be effectively incorporated into workshop activities (W) </w:t>
      </w:r>
    </w:p>
    <w:p w:rsidR="00CB53E0" w:rsidRDefault="00E21164">
      <w:pPr>
        <w:numPr>
          <w:ilvl w:val="0"/>
          <w:numId w:val="8"/>
        </w:numPr>
        <w:ind w:hanging="360"/>
        <w:contextualSpacing/>
      </w:pPr>
      <w:r>
        <w:t xml:space="preserve">Skilled leadership is available (W/S/I/C/SC) </w:t>
      </w:r>
    </w:p>
    <w:p w:rsidR="00CB53E0" w:rsidRDefault="00E21164">
      <w:pPr>
        <w:numPr>
          <w:ilvl w:val="0"/>
          <w:numId w:val="8"/>
        </w:numPr>
        <w:ind w:hanging="360"/>
        <w:contextualSpacing/>
      </w:pPr>
      <w:r>
        <w:t xml:space="preserve">Participants come with, or can be provided with, the group process skills </w:t>
      </w:r>
      <w:r>
        <w:t xml:space="preserve">that they need to engage in effective problem solving (W)  </w:t>
      </w:r>
    </w:p>
    <w:p w:rsidR="00CB53E0" w:rsidRDefault="00E21164">
      <w:pPr>
        <w:numPr>
          <w:ilvl w:val="0"/>
          <w:numId w:val="8"/>
        </w:numPr>
        <w:spacing w:after="240"/>
        <w:ind w:hanging="360"/>
        <w:contextualSpacing/>
      </w:pPr>
      <w:r>
        <w:t xml:space="preserve">Important to remove participants from their “natural” environment to bring about the desired changes in capabilities (W/I/C/SC) </w:t>
      </w:r>
    </w:p>
    <w:p w:rsidR="00CB53E0" w:rsidRDefault="00E21164">
      <w:pPr>
        <w:spacing w:after="240"/>
      </w:pPr>
      <w:r>
        <w:rPr>
          <w:b/>
          <w:sz w:val="28"/>
          <w:szCs w:val="28"/>
        </w:rPr>
        <w:t xml:space="preserve">Distance Learning Formats </w:t>
      </w:r>
    </w:p>
    <w:p w:rsidR="00CB53E0" w:rsidRDefault="00E21164">
      <w:pPr>
        <w:spacing w:after="240"/>
      </w:pPr>
      <w:r>
        <w:t>Distance learning is training that takes</w:t>
      </w:r>
      <w:r>
        <w:t xml:space="preserve"> place with registrants and instructors separated by locations and time zones.  Registrants may receive materials and instructions for assignments via their computer or mail and are asked to return completed assignments to their instructor using the same m</w:t>
      </w:r>
      <w:r>
        <w:t xml:space="preserve">edia.  </w:t>
      </w:r>
    </w:p>
    <w:p w:rsidR="00CB53E0" w:rsidRDefault="00E21164">
      <w:pPr>
        <w:spacing w:after="240"/>
      </w:pPr>
      <w:r>
        <w:rPr>
          <w:b/>
        </w:rPr>
        <w:t xml:space="preserve">Advantages of the Distance Learning Format </w:t>
      </w:r>
    </w:p>
    <w:p w:rsidR="00CB53E0" w:rsidRDefault="00E21164">
      <w:pPr>
        <w:numPr>
          <w:ilvl w:val="0"/>
          <w:numId w:val="14"/>
        </w:numPr>
        <w:ind w:hanging="360"/>
        <w:contextualSpacing/>
      </w:pPr>
      <w:r>
        <w:t xml:space="preserve">Allows registrants to take classes where and when they choose </w:t>
      </w:r>
    </w:p>
    <w:p w:rsidR="00CB53E0" w:rsidRDefault="00E21164">
      <w:pPr>
        <w:numPr>
          <w:ilvl w:val="0"/>
          <w:numId w:val="14"/>
        </w:numPr>
        <w:ind w:hanging="360"/>
        <w:contextualSpacing/>
      </w:pPr>
      <w:r>
        <w:t xml:space="preserve">Alleviates cost, time, and work constraints </w:t>
      </w:r>
    </w:p>
    <w:p w:rsidR="00CB53E0" w:rsidRDefault="00E21164">
      <w:pPr>
        <w:numPr>
          <w:ilvl w:val="0"/>
          <w:numId w:val="14"/>
        </w:numPr>
        <w:ind w:hanging="360"/>
        <w:contextualSpacing/>
      </w:pPr>
      <w:r>
        <w:t xml:space="preserve">Increases choices for more registrants </w:t>
      </w:r>
    </w:p>
    <w:p w:rsidR="00CB53E0" w:rsidRDefault="00E21164">
      <w:pPr>
        <w:numPr>
          <w:ilvl w:val="0"/>
          <w:numId w:val="14"/>
        </w:numPr>
        <w:ind w:hanging="360"/>
        <w:contextualSpacing/>
      </w:pPr>
      <w:r>
        <w:t xml:space="preserve">Doesn’t require a “brick-and-mortar” classroom </w:t>
      </w:r>
    </w:p>
    <w:p w:rsidR="00CB53E0" w:rsidRDefault="00E21164">
      <w:pPr>
        <w:numPr>
          <w:ilvl w:val="0"/>
          <w:numId w:val="14"/>
        </w:numPr>
        <w:spacing w:after="240"/>
        <w:ind w:hanging="360"/>
        <w:contextualSpacing/>
      </w:pPr>
      <w:r>
        <w:t xml:space="preserve">More suited to the mature adult learner </w:t>
      </w:r>
    </w:p>
    <w:p w:rsidR="00CB53E0" w:rsidRDefault="00E21164">
      <w:pPr>
        <w:spacing w:after="240"/>
      </w:pPr>
      <w:r>
        <w:rPr>
          <w:b/>
        </w:rPr>
        <w:t xml:space="preserve">Limitations of the Distance Learning Format </w:t>
      </w:r>
    </w:p>
    <w:p w:rsidR="00CB53E0" w:rsidRDefault="00E21164">
      <w:pPr>
        <w:numPr>
          <w:ilvl w:val="0"/>
          <w:numId w:val="13"/>
        </w:numPr>
        <w:ind w:hanging="360"/>
        <w:contextualSpacing/>
      </w:pPr>
      <w:r>
        <w:t xml:space="preserve">Requires more time and work to deliver than does face-to-face training </w:t>
      </w:r>
    </w:p>
    <w:p w:rsidR="00CB53E0" w:rsidRDefault="00E21164">
      <w:pPr>
        <w:numPr>
          <w:ilvl w:val="0"/>
          <w:numId w:val="13"/>
        </w:numPr>
        <w:ind w:hanging="360"/>
        <w:contextualSpacing/>
      </w:pPr>
      <w:r>
        <w:t xml:space="preserve">Registrants may feel isolated </w:t>
      </w:r>
    </w:p>
    <w:p w:rsidR="00CB53E0" w:rsidRDefault="00E21164">
      <w:pPr>
        <w:numPr>
          <w:ilvl w:val="0"/>
          <w:numId w:val="13"/>
        </w:numPr>
        <w:ind w:hanging="360"/>
        <w:contextualSpacing/>
      </w:pPr>
      <w:r>
        <w:t>Can be more of a challenge due to lack of structure and interaction</w:t>
      </w:r>
      <w:r>
        <w:t xml:space="preserve"> with others </w:t>
      </w:r>
    </w:p>
    <w:p w:rsidR="00CB53E0" w:rsidRDefault="00E21164">
      <w:pPr>
        <w:numPr>
          <w:ilvl w:val="0"/>
          <w:numId w:val="13"/>
        </w:numPr>
        <w:ind w:hanging="360"/>
        <w:contextualSpacing/>
      </w:pPr>
      <w:r>
        <w:t xml:space="preserve">Administrative support needed may increase with larger number of registrants </w:t>
      </w:r>
    </w:p>
    <w:p w:rsidR="00CB53E0" w:rsidRDefault="00E21164">
      <w:pPr>
        <w:numPr>
          <w:ilvl w:val="0"/>
          <w:numId w:val="13"/>
        </w:numPr>
        <w:spacing w:after="240"/>
        <w:ind w:hanging="360"/>
        <w:contextualSpacing/>
      </w:pPr>
      <w:r>
        <w:t xml:space="preserve">Necessitates high start-up costs and longer time frame for recouping expense </w:t>
      </w:r>
    </w:p>
    <w:p w:rsidR="00CB53E0" w:rsidRDefault="00E21164">
      <w:pPr>
        <w:spacing w:after="240"/>
      </w:pPr>
      <w:r>
        <w:rPr>
          <w:b/>
        </w:rPr>
        <w:t>Criteria for Selecting the Distance Learning Format</w:t>
      </w:r>
    </w:p>
    <w:p w:rsidR="00CB53E0" w:rsidRDefault="00E21164">
      <w:pPr>
        <w:numPr>
          <w:ilvl w:val="0"/>
          <w:numId w:val="10"/>
        </w:numPr>
        <w:ind w:hanging="360"/>
        <w:contextualSpacing/>
      </w:pPr>
      <w:r>
        <w:t>Requires simple and direct writing</w:t>
      </w:r>
      <w:r>
        <w:t xml:space="preserve"> by the instructor </w:t>
      </w:r>
    </w:p>
    <w:p w:rsidR="00CB53E0" w:rsidRDefault="00E21164">
      <w:pPr>
        <w:numPr>
          <w:ilvl w:val="0"/>
          <w:numId w:val="10"/>
        </w:numPr>
        <w:ind w:hanging="360"/>
        <w:contextualSpacing/>
      </w:pPr>
      <w:r>
        <w:t xml:space="preserve">Activities and self-assessment exercises must be interspersed throughout, building to the end goal </w:t>
      </w:r>
    </w:p>
    <w:p w:rsidR="00CB53E0" w:rsidRDefault="00E21164">
      <w:pPr>
        <w:numPr>
          <w:ilvl w:val="0"/>
          <w:numId w:val="10"/>
        </w:numPr>
        <w:ind w:hanging="360"/>
        <w:contextualSpacing/>
      </w:pPr>
      <w:r>
        <w:t xml:space="preserve">Must be able to map a visible path when introducing the course in order to show registrant where he/she is at all times </w:t>
      </w:r>
    </w:p>
    <w:p w:rsidR="00CB53E0" w:rsidRDefault="00E21164">
      <w:pPr>
        <w:numPr>
          <w:ilvl w:val="0"/>
          <w:numId w:val="10"/>
        </w:numPr>
        <w:spacing w:after="240"/>
        <w:ind w:hanging="360"/>
        <w:contextualSpacing/>
      </w:pPr>
      <w:r>
        <w:t xml:space="preserve">Works best when concepts, ideas, and theories are repeated often </w:t>
      </w:r>
    </w:p>
    <w:p w:rsidR="00CB53E0" w:rsidRDefault="00E21164">
      <w:pPr>
        <w:spacing w:after="240"/>
      </w:pPr>
      <w:r>
        <w:t>Distance learning may be delivered using many techniques and technologies.  E-learning is the distance learning form that uses the most “bells and whistles,” but there are other successful w</w:t>
      </w:r>
      <w:r>
        <w:t xml:space="preserve">ays of delivering distance learning.  These include the following: </w:t>
      </w:r>
    </w:p>
    <w:p w:rsidR="00CB53E0" w:rsidRDefault="00E21164">
      <w:pPr>
        <w:numPr>
          <w:ilvl w:val="0"/>
          <w:numId w:val="9"/>
        </w:numPr>
        <w:spacing w:after="240"/>
        <w:ind w:hanging="360"/>
      </w:pPr>
      <w:r>
        <w:rPr>
          <w:b/>
        </w:rPr>
        <w:lastRenderedPageBreak/>
        <w:t>E-learning</w:t>
      </w:r>
      <w:r>
        <w:t xml:space="preserve"> is delivered via computers using internet technology and programming that allows registrants to interact with the </w:t>
      </w:r>
      <w:r>
        <w:t>class</w:t>
      </w:r>
      <w:r>
        <w:t xml:space="preserve"> materials, each other, and the instructor via chat rooms,</w:t>
      </w:r>
      <w:r>
        <w:t xml:space="preserve"> content management systems, video conferencing, etc., both synchronously and asynchronously.  This is a fast-moving field with new products and techniques coming online in rapid succession.</w:t>
      </w:r>
    </w:p>
    <w:p w:rsidR="00CB53E0" w:rsidRDefault="00E21164">
      <w:pPr>
        <w:numPr>
          <w:ilvl w:val="0"/>
          <w:numId w:val="9"/>
        </w:numPr>
        <w:spacing w:after="240"/>
        <w:ind w:hanging="360"/>
      </w:pPr>
      <w:r>
        <w:rPr>
          <w:b/>
        </w:rPr>
        <w:t>Recorded programming</w:t>
      </w:r>
      <w:r>
        <w:t xml:space="preserve"> uses a series of pre-recorded programs desig</w:t>
      </w:r>
      <w:r>
        <w:t>ned to convey information.  Delivery via cable, tape, podcast, or DVD is most common.  In some cases the recorded programming includes assessments, or the instructor provides assessments to be completed and returned.</w:t>
      </w:r>
    </w:p>
    <w:p w:rsidR="00CB53E0" w:rsidRDefault="00E21164">
      <w:pPr>
        <w:numPr>
          <w:ilvl w:val="0"/>
          <w:numId w:val="9"/>
        </w:numPr>
        <w:spacing w:after="240"/>
        <w:ind w:hanging="360"/>
      </w:pPr>
      <w:r>
        <w:rPr>
          <w:b/>
        </w:rPr>
        <w:t>Webinars</w:t>
      </w:r>
      <w:r>
        <w:t xml:space="preserve"> use a PC and telephone or VOIP</w:t>
      </w:r>
      <w:r>
        <w:t xml:space="preserve"> software connection by </w:t>
      </w:r>
      <w:proofErr w:type="gramStart"/>
      <w:r>
        <w:t>which  instructors</w:t>
      </w:r>
      <w:proofErr w:type="gramEnd"/>
      <w:r>
        <w:t xml:space="preserve"> present short programs using a PowerPoint presentation and interacting with registrants by voice, online chat, or email.    Webinars are often recorded for later access.</w:t>
      </w:r>
    </w:p>
    <w:p w:rsidR="00211F12" w:rsidRDefault="00211F12">
      <w:pPr>
        <w:spacing w:after="240"/>
        <w:rPr>
          <w:b/>
          <w:sz w:val="32"/>
          <w:szCs w:val="32"/>
        </w:rPr>
        <w:sectPr w:rsidR="00211F12">
          <w:headerReference w:type="default" r:id="rId12"/>
          <w:pgSz w:w="12240" w:h="15840"/>
          <w:pgMar w:top="1440" w:right="1440" w:bottom="1440" w:left="1440" w:header="720" w:footer="720" w:gutter="0"/>
          <w:pgNumType w:start="1"/>
          <w:cols w:space="720"/>
        </w:sectPr>
      </w:pPr>
    </w:p>
    <w:p w:rsidR="00CB53E0" w:rsidRDefault="00E21164">
      <w:pPr>
        <w:spacing w:after="240"/>
      </w:pPr>
      <w:r>
        <w:rPr>
          <w:b/>
          <w:sz w:val="32"/>
          <w:szCs w:val="32"/>
        </w:rPr>
        <w:lastRenderedPageBreak/>
        <w:t>Appendix 5:  Guidelines for Evaluating Continuing Education Programs</w:t>
      </w:r>
    </w:p>
    <w:p w:rsidR="00CB53E0" w:rsidRDefault="00E21164">
      <w:pPr>
        <w:spacing w:after="240"/>
      </w:pPr>
      <w:r>
        <w:t>Feedback from participants, peers, reviewers, and instructors is essential to assess the quality and relevance of both individual courses and programs of continuing education courses.</w:t>
      </w:r>
    </w:p>
    <w:p w:rsidR="00CB53E0" w:rsidRDefault="00E21164">
      <w:pPr>
        <w:spacing w:after="240"/>
      </w:pPr>
      <w:r>
        <w:t>For</w:t>
      </w:r>
      <w:r>
        <w:t xml:space="preserve"> one and two-day classes, the instructor should distribute evaluation forms in the final 30 minutes.  For longer classes, consider handing out the form at the beginning so that participants can add comments as they think of them.  </w:t>
      </w:r>
    </w:p>
    <w:p w:rsidR="00CB53E0" w:rsidRDefault="00E21164">
      <w:pPr>
        <w:spacing w:after="240"/>
      </w:pPr>
      <w:r>
        <w:t>Use the class evaluation</w:t>
      </w:r>
      <w:r>
        <w:t xml:space="preserve"> forms that follow </w:t>
      </w:r>
      <w:proofErr w:type="gramStart"/>
      <w:r>
        <w:t>or  construct</w:t>
      </w:r>
      <w:proofErr w:type="gramEnd"/>
      <w:r>
        <w:t xml:space="preserve"> your own to assist the instructor in refining/tweaking the content and presentation.  Lengthy evaluation forms typically defeat the purpose as participants are eager to leave – one sheet of paper with questions on both side</w:t>
      </w:r>
      <w:r>
        <w:t>s appears to yield the greatest results.  Include succinct questions and request answers based on a scale of one to five as well as open ended questions encouraging comprehensive responses.  Allowing participants to complete evaluations at home and/or onli</w:t>
      </w:r>
      <w:r>
        <w:t>ne after the program concludes results in a significant decrease in evaluations submitted.</w:t>
      </w:r>
    </w:p>
    <w:p w:rsidR="00CB53E0" w:rsidRDefault="00E21164">
      <w:r>
        <w:t xml:space="preserve">Ask </w:t>
      </w:r>
      <w:proofErr w:type="gramStart"/>
      <w:r>
        <w:t>participants  about</w:t>
      </w:r>
      <w:proofErr w:type="gramEnd"/>
      <w:r>
        <w:t xml:space="preserve"> the complete education experience including:</w:t>
      </w:r>
    </w:p>
    <w:p w:rsidR="00CB53E0" w:rsidRDefault="00E21164">
      <w:pPr>
        <w:numPr>
          <w:ilvl w:val="0"/>
          <w:numId w:val="16"/>
        </w:numPr>
        <w:ind w:hanging="360"/>
      </w:pPr>
      <w:r>
        <w:t>Objectives</w:t>
      </w:r>
    </w:p>
    <w:p w:rsidR="00CB53E0" w:rsidRDefault="00E21164">
      <w:pPr>
        <w:numPr>
          <w:ilvl w:val="0"/>
          <w:numId w:val="16"/>
        </w:numPr>
        <w:ind w:hanging="360"/>
      </w:pPr>
      <w:r>
        <w:t>Learning outcomes</w:t>
      </w:r>
    </w:p>
    <w:p w:rsidR="00CB53E0" w:rsidRDefault="00E21164">
      <w:pPr>
        <w:numPr>
          <w:ilvl w:val="0"/>
          <w:numId w:val="16"/>
        </w:numPr>
        <w:ind w:hanging="360"/>
      </w:pPr>
      <w:r>
        <w:t>Content</w:t>
      </w:r>
    </w:p>
    <w:p w:rsidR="00CB53E0" w:rsidRDefault="00E21164">
      <w:pPr>
        <w:numPr>
          <w:ilvl w:val="0"/>
          <w:numId w:val="16"/>
        </w:numPr>
        <w:ind w:hanging="360"/>
      </w:pPr>
      <w:r>
        <w:t>Break-out sessions</w:t>
      </w:r>
    </w:p>
    <w:p w:rsidR="00CB53E0" w:rsidRDefault="00E21164">
      <w:pPr>
        <w:numPr>
          <w:ilvl w:val="0"/>
          <w:numId w:val="16"/>
        </w:numPr>
        <w:ind w:hanging="360"/>
      </w:pPr>
      <w:r>
        <w:t>Relevance of training</w:t>
      </w:r>
    </w:p>
    <w:p w:rsidR="00CB53E0" w:rsidRDefault="00E21164">
      <w:pPr>
        <w:numPr>
          <w:ilvl w:val="0"/>
          <w:numId w:val="16"/>
        </w:numPr>
        <w:ind w:hanging="360"/>
      </w:pPr>
      <w:r>
        <w:t>Skill of Presenter</w:t>
      </w:r>
    </w:p>
    <w:p w:rsidR="00CB53E0" w:rsidRDefault="00E21164">
      <w:pPr>
        <w:numPr>
          <w:ilvl w:val="0"/>
          <w:numId w:val="16"/>
        </w:numPr>
        <w:ind w:hanging="360"/>
      </w:pPr>
      <w:r>
        <w:t>Advertised description</w:t>
      </w:r>
    </w:p>
    <w:p w:rsidR="00CB53E0" w:rsidRDefault="00E21164">
      <w:pPr>
        <w:numPr>
          <w:ilvl w:val="0"/>
          <w:numId w:val="16"/>
        </w:numPr>
        <w:ind w:hanging="360"/>
      </w:pPr>
      <w:r>
        <w:t>Handouts and materials</w:t>
      </w:r>
    </w:p>
    <w:p w:rsidR="00CB53E0" w:rsidRDefault="00E21164">
      <w:pPr>
        <w:numPr>
          <w:ilvl w:val="0"/>
          <w:numId w:val="16"/>
        </w:numPr>
        <w:ind w:hanging="360"/>
      </w:pPr>
      <w:r>
        <w:t>Pre-reading assignments if appropriate</w:t>
      </w:r>
    </w:p>
    <w:p w:rsidR="00CB53E0" w:rsidRDefault="00E21164">
      <w:pPr>
        <w:numPr>
          <w:ilvl w:val="0"/>
          <w:numId w:val="16"/>
        </w:numPr>
        <w:ind w:hanging="360"/>
      </w:pPr>
      <w:r>
        <w:t xml:space="preserve">What was missing? </w:t>
      </w:r>
    </w:p>
    <w:p w:rsidR="00CB53E0" w:rsidRDefault="00E21164">
      <w:pPr>
        <w:numPr>
          <w:ilvl w:val="0"/>
          <w:numId w:val="16"/>
        </w:numPr>
        <w:ind w:hanging="360"/>
      </w:pPr>
      <w:r>
        <w:t>Catering if appropriate</w:t>
      </w:r>
    </w:p>
    <w:p w:rsidR="00CB53E0" w:rsidRDefault="00E21164">
      <w:pPr>
        <w:numPr>
          <w:ilvl w:val="0"/>
          <w:numId w:val="16"/>
        </w:numPr>
        <w:ind w:hanging="360"/>
      </w:pPr>
      <w:r>
        <w:t xml:space="preserve">Information provided about location, transportation, parking, </w:t>
      </w:r>
    </w:p>
    <w:p w:rsidR="00CB53E0" w:rsidRDefault="00E21164">
      <w:pPr>
        <w:numPr>
          <w:ilvl w:val="0"/>
          <w:numId w:val="16"/>
        </w:numPr>
        <w:ind w:hanging="360"/>
      </w:pPr>
      <w:r>
        <w:t>Comfort and appropriateness of facility</w:t>
      </w:r>
    </w:p>
    <w:p w:rsidR="00CB53E0" w:rsidRDefault="00E21164">
      <w:pPr>
        <w:numPr>
          <w:ilvl w:val="0"/>
          <w:numId w:val="16"/>
        </w:numPr>
        <w:spacing w:after="240"/>
        <w:ind w:hanging="360"/>
      </w:pPr>
      <w:r>
        <w:t>Other education needs</w:t>
      </w:r>
    </w:p>
    <w:p w:rsidR="00CB53E0" w:rsidRDefault="00E21164">
      <w:pPr>
        <w:spacing w:after="240"/>
      </w:pPr>
      <w:r>
        <w:t>Ev</w:t>
      </w:r>
      <w:r>
        <w:t>aluations allow instructors and education providers to pin point areas for improvement in class content, presentation, and materials.  Both entities should study the numbers, comments, and suggestions/complaints to resolve issues.  Pay particular attention</w:t>
      </w:r>
      <w:r>
        <w:t xml:space="preserve"> to negative comments-even if there are few.  Assess their legitimacy and attempt to address the concerns they raise even while keeping positive comments in mind.</w:t>
      </w:r>
    </w:p>
    <w:p w:rsidR="00CB53E0" w:rsidRDefault="00E21164">
      <w:pPr>
        <w:spacing w:after="240"/>
      </w:pPr>
      <w:r>
        <w:rPr>
          <w:b/>
          <w:sz w:val="28"/>
          <w:szCs w:val="28"/>
        </w:rPr>
        <w:t>Other Aspects</w:t>
      </w:r>
    </w:p>
    <w:p w:rsidR="00CB53E0" w:rsidRDefault="00E21164">
      <w:r>
        <w:t>Instructors/developers should assess how well the individual class or program a</w:t>
      </w:r>
      <w:r>
        <w:t>chieved their objectives and advertised outcomes.  Assessment might include:</w:t>
      </w:r>
    </w:p>
    <w:p w:rsidR="00CB53E0" w:rsidRDefault="00E21164">
      <w:pPr>
        <w:numPr>
          <w:ilvl w:val="0"/>
          <w:numId w:val="17"/>
        </w:numPr>
        <w:ind w:hanging="360"/>
      </w:pPr>
      <w:r>
        <w:t>Review of registrant response and your own assessment</w:t>
      </w:r>
    </w:p>
    <w:p w:rsidR="00CB53E0" w:rsidRDefault="00E21164">
      <w:pPr>
        <w:numPr>
          <w:ilvl w:val="0"/>
          <w:numId w:val="1"/>
        </w:numPr>
        <w:ind w:hanging="360"/>
      </w:pPr>
      <w:r>
        <w:lastRenderedPageBreak/>
        <w:t xml:space="preserve">Class response to activities </w:t>
      </w:r>
    </w:p>
    <w:p w:rsidR="00CB53E0" w:rsidRDefault="00E21164">
      <w:pPr>
        <w:numPr>
          <w:ilvl w:val="0"/>
          <w:numId w:val="1"/>
        </w:numPr>
        <w:ind w:hanging="360"/>
      </w:pPr>
      <w:r>
        <w:t>Did handouts provide what you expected – what needs to be added or changed?</w:t>
      </w:r>
    </w:p>
    <w:p w:rsidR="00CB53E0" w:rsidRDefault="00E21164">
      <w:pPr>
        <w:numPr>
          <w:ilvl w:val="0"/>
          <w:numId w:val="1"/>
        </w:numPr>
        <w:ind w:hanging="360"/>
      </w:pPr>
      <w:r>
        <w:t xml:space="preserve">How was your timing?  </w:t>
      </w:r>
    </w:p>
    <w:p w:rsidR="00CB53E0" w:rsidRDefault="00E21164">
      <w:pPr>
        <w:numPr>
          <w:ilvl w:val="0"/>
          <w:numId w:val="1"/>
        </w:numPr>
        <w:ind w:hanging="360"/>
      </w:pPr>
      <w:r>
        <w:t>What needs to be shortened, lengthened or eliminated?</w:t>
      </w:r>
    </w:p>
    <w:p w:rsidR="00CB53E0" w:rsidRDefault="00E21164">
      <w:pPr>
        <w:numPr>
          <w:ilvl w:val="0"/>
          <w:numId w:val="1"/>
        </w:numPr>
        <w:spacing w:after="240"/>
        <w:ind w:hanging="360"/>
      </w:pPr>
      <w:r>
        <w:t>How did content and your delivery work for the registrants?</w:t>
      </w:r>
    </w:p>
    <w:p w:rsidR="00CB53E0" w:rsidRDefault="00E21164">
      <w:r>
        <w:t>Periodic evaluation by an outside reviewer/auditor will round out the evaluation process.</w:t>
      </w:r>
    </w:p>
    <w:p w:rsidR="00CB53E0" w:rsidRDefault="00E21164">
      <w:r>
        <w:br w:type="page"/>
      </w:r>
    </w:p>
    <w:p w:rsidR="00CB53E0" w:rsidRDefault="00CB53E0">
      <w:pPr>
        <w:widowControl w:val="0"/>
        <w:spacing w:line="276" w:lineRule="auto"/>
      </w:pPr>
    </w:p>
    <w:p w:rsidR="00CB53E0" w:rsidRDefault="00E21164">
      <w:pPr>
        <w:jc w:val="center"/>
      </w:pPr>
      <w:r>
        <w:rPr>
          <w:rFonts w:ascii="Cambria" w:eastAsia="Cambria" w:hAnsi="Cambria" w:cs="Cambria"/>
          <w:sz w:val="20"/>
          <w:szCs w:val="20"/>
        </w:rPr>
        <w:t xml:space="preserve">Workshop Title:  </w:t>
      </w:r>
      <w:r>
        <w:rPr>
          <w:rFonts w:ascii="Cambria" w:eastAsia="Cambria" w:hAnsi="Cambria" w:cs="Cambria"/>
          <w:b/>
          <w:sz w:val="20"/>
          <w:szCs w:val="20"/>
          <w:highlight w:val="cyan"/>
        </w:rPr>
        <w:t>NAME</w:t>
      </w:r>
    </w:p>
    <w:p w:rsidR="00CB53E0" w:rsidRDefault="00E21164">
      <w:pPr>
        <w:jc w:val="center"/>
      </w:pPr>
      <w:r>
        <w:rPr>
          <w:rFonts w:ascii="Cambria" w:eastAsia="Cambria" w:hAnsi="Cambria" w:cs="Cambria"/>
          <w:sz w:val="20"/>
          <w:szCs w:val="20"/>
        </w:rPr>
        <w:t xml:space="preserve">Date: </w:t>
      </w:r>
      <w:r>
        <w:rPr>
          <w:rFonts w:ascii="Cambria" w:eastAsia="Cambria" w:hAnsi="Cambria" w:cs="Cambria"/>
          <w:b/>
          <w:sz w:val="20"/>
          <w:szCs w:val="20"/>
        </w:rPr>
        <w:t>DATE</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sz w:val="20"/>
          <w:szCs w:val="20"/>
        </w:rPr>
        <w:t xml:space="preserve"> </w:t>
      </w:r>
      <w:r>
        <w:rPr>
          <w:rFonts w:ascii="Cambria" w:eastAsia="Cambria" w:hAnsi="Cambria" w:cs="Cambria"/>
          <w:sz w:val="20"/>
          <w:szCs w:val="20"/>
        </w:rPr>
        <w:tab/>
        <w:t xml:space="preserve">Location: </w:t>
      </w:r>
      <w:r>
        <w:rPr>
          <w:rFonts w:ascii="Cambria" w:eastAsia="Cambria" w:hAnsi="Cambria" w:cs="Cambria"/>
          <w:b/>
          <w:sz w:val="20"/>
          <w:szCs w:val="20"/>
          <w:highlight w:val="cyan"/>
        </w:rPr>
        <w:t>LOCATION</w:t>
      </w:r>
    </w:p>
    <w:p w:rsidR="00CB53E0" w:rsidRDefault="00CB53E0">
      <w:pPr>
        <w:jc w:val="center"/>
      </w:pPr>
    </w:p>
    <w:p w:rsidR="00CB53E0" w:rsidRDefault="00E21164">
      <w:r>
        <w:rPr>
          <w:rFonts w:ascii="Cambria" w:eastAsia="Cambria" w:hAnsi="Cambria" w:cs="Cambria"/>
          <w:b/>
          <w:sz w:val="22"/>
          <w:szCs w:val="22"/>
        </w:rPr>
        <w:t>I.  Assess the workshop from the standpoint of what you gained from the experience:</w:t>
      </w:r>
    </w:p>
    <w:p w:rsidR="00CB53E0" w:rsidRDefault="00E21164">
      <w:pPr>
        <w:keepNext/>
      </w:pPr>
      <w:r>
        <w:rPr>
          <w:rFonts w:ascii="Cambria" w:eastAsia="Cambria" w:hAnsi="Cambria" w:cs="Cambria"/>
          <w:sz w:val="22"/>
          <w:szCs w:val="22"/>
        </w:rPr>
        <w:t>How well did the workshop meet the following stated objectives?</w:t>
      </w:r>
    </w:p>
    <w:p w:rsidR="00CB53E0" w:rsidRDefault="00E21164">
      <w:pPr>
        <w:tabs>
          <w:tab w:val="left" w:pos="5040"/>
        </w:tabs>
        <w:ind w:left="5040"/>
      </w:pPr>
      <w:r>
        <w:rPr>
          <w:rFonts w:ascii="Cambria" w:eastAsia="Cambria" w:hAnsi="Cambria" w:cs="Cambria"/>
          <w:sz w:val="21"/>
          <w:szCs w:val="21"/>
        </w:rPr>
        <w:t xml:space="preserve">Not at all                                           </w:t>
      </w:r>
      <w:proofErr w:type="gramStart"/>
      <w:r>
        <w:rPr>
          <w:rFonts w:ascii="Cambria" w:eastAsia="Cambria" w:hAnsi="Cambria" w:cs="Cambria"/>
          <w:sz w:val="21"/>
          <w:szCs w:val="21"/>
        </w:rPr>
        <w:t>On</w:t>
      </w:r>
      <w:proofErr w:type="gramEnd"/>
      <w:r>
        <w:rPr>
          <w:rFonts w:ascii="Cambria" w:eastAsia="Cambria" w:hAnsi="Cambria" w:cs="Cambria"/>
          <w:sz w:val="21"/>
          <w:szCs w:val="21"/>
        </w:rPr>
        <w:t xml:space="preserve"> target</w:t>
      </w:r>
    </w:p>
    <w:p w:rsidR="00CB53E0" w:rsidRDefault="00E21164">
      <w:r>
        <w:rPr>
          <w:rFonts w:ascii="Cambria" w:eastAsia="Cambria" w:hAnsi="Cambria" w:cs="Cambria"/>
          <w:sz w:val="18"/>
          <w:szCs w:val="18"/>
          <w:highlight w:val="cyan"/>
        </w:rPr>
        <w:t xml:space="preserve">Understand </w:t>
      </w:r>
      <w:r>
        <w:rPr>
          <w:rFonts w:ascii="Cambria" w:eastAsia="Cambria" w:hAnsi="Cambria" w:cs="Cambria"/>
          <w:sz w:val="18"/>
          <w:szCs w:val="18"/>
          <w:highlight w:val="cyan"/>
        </w:rPr>
        <w:t>the basic elements of an electronic records</w:t>
      </w:r>
    </w:p>
    <w:p w:rsidR="00CB53E0" w:rsidRDefault="00E21164">
      <w:proofErr w:type="gramStart"/>
      <w:r>
        <w:rPr>
          <w:rFonts w:ascii="Cambria" w:eastAsia="Cambria" w:hAnsi="Cambria" w:cs="Cambria"/>
          <w:sz w:val="18"/>
          <w:szCs w:val="18"/>
          <w:highlight w:val="cyan"/>
        </w:rPr>
        <w:t>program</w:t>
      </w:r>
      <w:proofErr w:type="gramEnd"/>
      <w:r>
        <w:rPr>
          <w:rFonts w:ascii="Cambria" w:eastAsia="Cambria" w:hAnsi="Cambria" w:cs="Cambria"/>
          <w:sz w:val="18"/>
          <w:szCs w:val="18"/>
          <w:highlight w:val="cyan"/>
        </w:rPr>
        <w:t>, including file formats, authenticity, and</w:t>
      </w:r>
    </w:p>
    <w:p w:rsidR="00CB53E0" w:rsidRDefault="00E21164">
      <w:proofErr w:type="gramStart"/>
      <w:r>
        <w:rPr>
          <w:rFonts w:ascii="Cambria" w:eastAsia="Cambria" w:hAnsi="Cambria" w:cs="Cambria"/>
          <w:sz w:val="18"/>
          <w:szCs w:val="18"/>
          <w:highlight w:val="cyan"/>
        </w:rPr>
        <w:t>management</w:t>
      </w:r>
      <w:proofErr w:type="gramEnd"/>
      <w:r>
        <w:rPr>
          <w:rFonts w:ascii="Cambria" w:eastAsia="Cambria" w:hAnsi="Cambria" w:cs="Cambria"/>
          <w:sz w:val="18"/>
          <w:szCs w:val="18"/>
          <w:highlight w:val="cyan"/>
        </w:rPr>
        <w:t xml:space="preserve"> strategies;</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 xml:space="preserve">     </w:t>
      </w:r>
      <w:r>
        <w:rPr>
          <w:rFonts w:ascii="Cambria" w:eastAsia="Cambria" w:hAnsi="Cambria" w:cs="Cambria"/>
          <w:sz w:val="20"/>
          <w:szCs w:val="20"/>
        </w:rPr>
        <w:t>1</w:t>
      </w:r>
      <w:r>
        <w:rPr>
          <w:rFonts w:ascii="Cambria" w:eastAsia="Cambria" w:hAnsi="Cambria" w:cs="Cambria"/>
          <w:sz w:val="20"/>
          <w:szCs w:val="20"/>
        </w:rPr>
        <w:tab/>
        <w:t xml:space="preserve">  2            3               4</w:t>
      </w:r>
      <w:r>
        <w:rPr>
          <w:rFonts w:ascii="Cambria" w:eastAsia="Cambria" w:hAnsi="Cambria" w:cs="Cambria"/>
          <w:sz w:val="20"/>
          <w:szCs w:val="20"/>
        </w:rPr>
        <w:tab/>
        <w:t xml:space="preserve">        5</w:t>
      </w:r>
    </w:p>
    <w:p w:rsidR="00CB53E0" w:rsidRDefault="00E21164">
      <w:r>
        <w:rPr>
          <w:rFonts w:ascii="Cambria" w:eastAsia="Cambria" w:hAnsi="Cambria" w:cs="Cambria"/>
          <w:sz w:val="20"/>
          <w:szCs w:val="20"/>
        </w:rPr>
        <w:tab/>
      </w:r>
    </w:p>
    <w:p w:rsidR="00CB53E0" w:rsidRDefault="00E21164">
      <w:r>
        <w:rPr>
          <w:rFonts w:ascii="Cambria" w:eastAsia="Cambria" w:hAnsi="Cambria" w:cs="Cambria"/>
          <w:sz w:val="18"/>
          <w:szCs w:val="18"/>
          <w:highlight w:val="cyan"/>
        </w:rPr>
        <w:t>Know strategies for working with records creators ranging</w:t>
      </w:r>
    </w:p>
    <w:p w:rsidR="00CB53E0" w:rsidRDefault="00E21164">
      <w:proofErr w:type="gramStart"/>
      <w:r>
        <w:rPr>
          <w:rFonts w:ascii="Cambria" w:eastAsia="Cambria" w:hAnsi="Cambria" w:cs="Cambria"/>
          <w:sz w:val="18"/>
          <w:szCs w:val="18"/>
          <w:highlight w:val="cyan"/>
        </w:rPr>
        <w:t>from</w:t>
      </w:r>
      <w:proofErr w:type="gramEnd"/>
      <w:r>
        <w:rPr>
          <w:rFonts w:ascii="Cambria" w:eastAsia="Cambria" w:hAnsi="Cambria" w:cs="Cambria"/>
          <w:sz w:val="18"/>
          <w:szCs w:val="18"/>
          <w:highlight w:val="cyan"/>
        </w:rPr>
        <w:t xml:space="preserve"> university employee</w:t>
      </w:r>
      <w:r>
        <w:rPr>
          <w:rFonts w:ascii="Cambria" w:eastAsia="Cambria" w:hAnsi="Cambria" w:cs="Cambria"/>
          <w:sz w:val="18"/>
          <w:szCs w:val="18"/>
          <w:highlight w:val="cyan"/>
        </w:rPr>
        <w:t xml:space="preserve">s to donors of personal </w:t>
      </w:r>
    </w:p>
    <w:p w:rsidR="00CB53E0" w:rsidRDefault="00E21164">
      <w:proofErr w:type="gramStart"/>
      <w:r>
        <w:rPr>
          <w:rFonts w:ascii="Cambria" w:eastAsia="Cambria" w:hAnsi="Cambria" w:cs="Cambria"/>
          <w:sz w:val="18"/>
          <w:szCs w:val="18"/>
          <w:highlight w:val="cyan"/>
        </w:rPr>
        <w:t>papers</w:t>
      </w:r>
      <w:proofErr w:type="gramEnd"/>
      <w:r>
        <w:rPr>
          <w:rFonts w:ascii="Cambria" w:eastAsia="Cambria" w:hAnsi="Cambria" w:cs="Cambria"/>
          <w:sz w:val="18"/>
          <w:szCs w:val="18"/>
          <w:highlight w:val="cyan"/>
        </w:rPr>
        <w:t>; and</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 xml:space="preserve">     </w:t>
      </w:r>
      <w:r>
        <w:rPr>
          <w:rFonts w:ascii="Cambria" w:eastAsia="Cambria" w:hAnsi="Cambria" w:cs="Cambria"/>
          <w:sz w:val="20"/>
          <w:szCs w:val="20"/>
        </w:rPr>
        <w:t>1</w:t>
      </w:r>
      <w:r>
        <w:rPr>
          <w:rFonts w:ascii="Cambria" w:eastAsia="Cambria" w:hAnsi="Cambria" w:cs="Cambria"/>
          <w:sz w:val="20"/>
          <w:szCs w:val="20"/>
        </w:rPr>
        <w:tab/>
        <w:t xml:space="preserve">  2            3               4</w:t>
      </w:r>
      <w:r>
        <w:rPr>
          <w:rFonts w:ascii="Cambria" w:eastAsia="Cambria" w:hAnsi="Cambria" w:cs="Cambria"/>
          <w:sz w:val="20"/>
          <w:szCs w:val="20"/>
        </w:rPr>
        <w:tab/>
        <w:t xml:space="preserve">        5</w:t>
      </w:r>
    </w:p>
    <w:p w:rsidR="00CB53E0" w:rsidRDefault="00E21164">
      <w:r>
        <w:rPr>
          <w:rFonts w:ascii="Cambria" w:eastAsia="Cambria" w:hAnsi="Cambria" w:cs="Cambria"/>
          <w:sz w:val="20"/>
          <w:szCs w:val="20"/>
        </w:rPr>
        <w:tab/>
      </w:r>
    </w:p>
    <w:p w:rsidR="00CB53E0" w:rsidRDefault="00E21164">
      <w:r>
        <w:rPr>
          <w:rFonts w:ascii="Cambria" w:eastAsia="Cambria" w:hAnsi="Cambria" w:cs="Cambria"/>
          <w:sz w:val="18"/>
          <w:szCs w:val="18"/>
          <w:highlight w:val="cyan"/>
        </w:rPr>
        <w:t>Have a basic understanding of the open source tools</w:t>
      </w:r>
    </w:p>
    <w:p w:rsidR="00CB53E0" w:rsidRDefault="00E21164">
      <w:proofErr w:type="gramStart"/>
      <w:r>
        <w:rPr>
          <w:rFonts w:ascii="Cambria" w:eastAsia="Cambria" w:hAnsi="Cambria" w:cs="Cambria"/>
          <w:sz w:val="18"/>
          <w:szCs w:val="18"/>
          <w:highlight w:val="cyan"/>
        </w:rPr>
        <w:t>available</w:t>
      </w:r>
      <w:proofErr w:type="gramEnd"/>
      <w:r>
        <w:rPr>
          <w:rFonts w:ascii="Cambria" w:eastAsia="Cambria" w:hAnsi="Cambria" w:cs="Cambria"/>
          <w:sz w:val="18"/>
          <w:szCs w:val="18"/>
          <w:highlight w:val="cyan"/>
        </w:rPr>
        <w:t xml:space="preserve"> for ingest and management of electronic records.</w:t>
      </w:r>
      <w:r>
        <w:rPr>
          <w:rFonts w:ascii="Cambria" w:eastAsia="Cambria" w:hAnsi="Cambria" w:cs="Cambria"/>
          <w:sz w:val="18"/>
          <w:szCs w:val="18"/>
        </w:rPr>
        <w:tab/>
        <w:t xml:space="preserve">     </w:t>
      </w:r>
      <w:r>
        <w:rPr>
          <w:rFonts w:ascii="Cambria" w:eastAsia="Cambria" w:hAnsi="Cambria" w:cs="Cambria"/>
          <w:sz w:val="20"/>
          <w:szCs w:val="20"/>
        </w:rPr>
        <w:t>1</w:t>
      </w:r>
      <w:r>
        <w:rPr>
          <w:rFonts w:ascii="Cambria" w:eastAsia="Cambria" w:hAnsi="Cambria" w:cs="Cambria"/>
          <w:sz w:val="20"/>
          <w:szCs w:val="20"/>
        </w:rPr>
        <w:tab/>
        <w:t xml:space="preserve">  2            3               4</w:t>
      </w:r>
      <w:r>
        <w:rPr>
          <w:rFonts w:ascii="Cambria" w:eastAsia="Cambria" w:hAnsi="Cambria" w:cs="Cambria"/>
          <w:sz w:val="20"/>
          <w:szCs w:val="20"/>
        </w:rPr>
        <w:tab/>
        <w:t xml:space="preserve">        5</w:t>
      </w:r>
    </w:p>
    <w:p w:rsidR="00CB53E0" w:rsidRDefault="00CB53E0"/>
    <w:tbl>
      <w:tblPr>
        <w:tblStyle w:val="a"/>
        <w:tblW w:w="9304" w:type="dxa"/>
        <w:jc w:val="center"/>
        <w:tblLayout w:type="fixed"/>
        <w:tblLook w:val="0000" w:firstRow="0" w:lastRow="0" w:firstColumn="0" w:lastColumn="0" w:noHBand="0" w:noVBand="0"/>
      </w:tblPr>
      <w:tblGrid>
        <w:gridCol w:w="9304"/>
      </w:tblGrid>
      <w:tr w:rsidR="00CB53E0">
        <w:trPr>
          <w:trHeight w:val="260"/>
          <w:jc w:val="center"/>
        </w:trPr>
        <w:tc>
          <w:tcPr>
            <w:tcW w:w="9304" w:type="dxa"/>
          </w:tcPr>
          <w:p w:rsidR="00CB53E0" w:rsidRDefault="00CB53E0">
            <w:pPr>
              <w:keepNext/>
            </w:pPr>
          </w:p>
          <w:p w:rsidR="00CB53E0" w:rsidRDefault="00E21164">
            <w:pPr>
              <w:keepNext/>
            </w:pPr>
            <w:r>
              <w:rPr>
                <w:rFonts w:ascii="Cambria" w:eastAsia="Cambria" w:hAnsi="Cambria" w:cs="Cambria"/>
                <w:b/>
                <w:sz w:val="18"/>
                <w:szCs w:val="18"/>
              </w:rPr>
              <w:t xml:space="preserve">                                                                                                                     </w:t>
            </w:r>
            <w:r>
              <w:rPr>
                <w:rFonts w:ascii="Cambria" w:eastAsia="Cambria" w:hAnsi="Cambria" w:cs="Cambria"/>
                <w:sz w:val="18"/>
                <w:szCs w:val="18"/>
              </w:rPr>
              <w:t>Very little                                               Substantial</w:t>
            </w:r>
          </w:p>
        </w:tc>
      </w:tr>
      <w:tr w:rsidR="00CB53E0">
        <w:trPr>
          <w:trHeight w:val="260"/>
          <w:jc w:val="center"/>
        </w:trPr>
        <w:tc>
          <w:tcPr>
            <w:tcW w:w="9304" w:type="dxa"/>
          </w:tcPr>
          <w:p w:rsidR="00CB53E0" w:rsidRDefault="00E21164">
            <w:r>
              <w:rPr>
                <w:rFonts w:ascii="Cambria" w:eastAsia="Cambria" w:hAnsi="Cambria" w:cs="Cambria"/>
                <w:sz w:val="18"/>
                <w:szCs w:val="18"/>
              </w:rPr>
              <w:t xml:space="preserve">New knowledge/skills acquired </w:t>
            </w:r>
            <w:r>
              <w:rPr>
                <w:rFonts w:ascii="Cambria" w:eastAsia="Cambria" w:hAnsi="Cambria" w:cs="Cambria"/>
                <w:sz w:val="18"/>
                <w:szCs w:val="18"/>
              </w:rPr>
              <w:tab/>
            </w:r>
            <w:r>
              <w:rPr>
                <w:rFonts w:ascii="Cambria" w:eastAsia="Cambria" w:hAnsi="Cambria" w:cs="Cambria"/>
                <w:sz w:val="18"/>
                <w:szCs w:val="18"/>
              </w:rPr>
              <w:tab/>
              <w:t xml:space="preserve">                                  1</w:t>
            </w:r>
            <w:r>
              <w:rPr>
                <w:rFonts w:ascii="Cambria" w:eastAsia="Cambria" w:hAnsi="Cambria" w:cs="Cambria"/>
                <w:sz w:val="18"/>
                <w:szCs w:val="18"/>
              </w:rPr>
              <w:tab/>
              <w:t xml:space="preserve"> 2            3                 4</w:t>
            </w:r>
            <w:r>
              <w:rPr>
                <w:rFonts w:ascii="Cambria" w:eastAsia="Cambria" w:hAnsi="Cambria" w:cs="Cambria"/>
                <w:sz w:val="18"/>
                <w:szCs w:val="18"/>
              </w:rPr>
              <w:tab/>
              <w:t xml:space="preserve">       5</w:t>
            </w:r>
          </w:p>
          <w:p w:rsidR="00CB53E0" w:rsidRDefault="00CB53E0"/>
        </w:tc>
      </w:tr>
      <w:tr w:rsidR="00CB53E0">
        <w:trPr>
          <w:trHeight w:val="260"/>
          <w:jc w:val="center"/>
        </w:trPr>
        <w:tc>
          <w:tcPr>
            <w:tcW w:w="9304" w:type="dxa"/>
          </w:tcPr>
          <w:p w:rsidR="00CB53E0" w:rsidRDefault="00CB53E0">
            <w:pPr>
              <w:tabs>
                <w:tab w:val="left" w:pos="4040"/>
              </w:tabs>
            </w:pPr>
          </w:p>
        </w:tc>
      </w:tr>
      <w:tr w:rsidR="00CB53E0">
        <w:trPr>
          <w:trHeight w:val="260"/>
          <w:jc w:val="center"/>
        </w:trPr>
        <w:tc>
          <w:tcPr>
            <w:tcW w:w="9304" w:type="dxa"/>
          </w:tcPr>
          <w:p w:rsidR="00CB53E0" w:rsidRDefault="00E21164">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 xml:space="preserve">          Not likely                                                Very likely</w:t>
            </w:r>
          </w:p>
        </w:tc>
      </w:tr>
      <w:tr w:rsidR="00CB53E0">
        <w:trPr>
          <w:trHeight w:val="260"/>
          <w:jc w:val="center"/>
        </w:trPr>
        <w:tc>
          <w:tcPr>
            <w:tcW w:w="9304" w:type="dxa"/>
          </w:tcPr>
          <w:p w:rsidR="00CB53E0" w:rsidRDefault="00E21164">
            <w:r>
              <w:rPr>
                <w:rFonts w:ascii="Cambria" w:eastAsia="Cambria" w:hAnsi="Cambria" w:cs="Cambria"/>
                <w:sz w:val="18"/>
                <w:szCs w:val="18"/>
              </w:rPr>
              <w:t>Likelihood of applying concepts to your work</w:t>
            </w:r>
            <w:r>
              <w:rPr>
                <w:rFonts w:ascii="Cambria" w:eastAsia="Cambria" w:hAnsi="Cambria" w:cs="Cambria"/>
                <w:sz w:val="18"/>
                <w:szCs w:val="18"/>
              </w:rPr>
              <w:tab/>
              <w:t xml:space="preserve"> </w:t>
            </w:r>
            <w:r>
              <w:rPr>
                <w:rFonts w:ascii="Cambria" w:eastAsia="Cambria" w:hAnsi="Cambria" w:cs="Cambria"/>
                <w:sz w:val="18"/>
                <w:szCs w:val="18"/>
              </w:rPr>
              <w:tab/>
              <w:t xml:space="preserve">                 1</w:t>
            </w:r>
            <w:r>
              <w:rPr>
                <w:rFonts w:ascii="Cambria" w:eastAsia="Cambria" w:hAnsi="Cambria" w:cs="Cambria"/>
                <w:sz w:val="18"/>
                <w:szCs w:val="18"/>
              </w:rPr>
              <w:tab/>
              <w:t xml:space="preserve">  2            3                 4</w:t>
            </w:r>
            <w:r>
              <w:rPr>
                <w:rFonts w:ascii="Cambria" w:eastAsia="Cambria" w:hAnsi="Cambria" w:cs="Cambria"/>
                <w:sz w:val="18"/>
                <w:szCs w:val="18"/>
              </w:rPr>
              <w:tab/>
              <w:t xml:space="preserve">        5</w:t>
            </w:r>
            <w:r>
              <w:rPr>
                <w:rFonts w:ascii="Cambria" w:eastAsia="Cambria" w:hAnsi="Cambria" w:cs="Cambria"/>
                <w:sz w:val="18"/>
                <w:szCs w:val="18"/>
              </w:rPr>
              <w:tab/>
            </w:r>
          </w:p>
        </w:tc>
      </w:tr>
      <w:tr w:rsidR="00CB53E0">
        <w:trPr>
          <w:trHeight w:val="260"/>
          <w:jc w:val="center"/>
        </w:trPr>
        <w:tc>
          <w:tcPr>
            <w:tcW w:w="9304" w:type="dxa"/>
          </w:tcPr>
          <w:p w:rsidR="00CB53E0" w:rsidRDefault="00CB53E0"/>
        </w:tc>
      </w:tr>
      <w:tr w:rsidR="00CB53E0">
        <w:trPr>
          <w:trHeight w:val="260"/>
          <w:jc w:val="center"/>
        </w:trPr>
        <w:tc>
          <w:tcPr>
            <w:tcW w:w="9304" w:type="dxa"/>
          </w:tcPr>
          <w:p w:rsidR="00CB53E0" w:rsidRDefault="00E21164">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 xml:space="preserve">          Not at all                                                  On target</w:t>
            </w:r>
          </w:p>
        </w:tc>
      </w:tr>
      <w:tr w:rsidR="00CB53E0">
        <w:trPr>
          <w:trHeight w:val="260"/>
          <w:jc w:val="center"/>
        </w:trPr>
        <w:tc>
          <w:tcPr>
            <w:tcW w:w="9304" w:type="dxa"/>
          </w:tcPr>
          <w:p w:rsidR="00CB53E0" w:rsidRDefault="00E21164">
            <w:r>
              <w:rPr>
                <w:rFonts w:ascii="Cambria" w:eastAsia="Cambria" w:hAnsi="Cambria" w:cs="Cambria"/>
                <w:sz w:val="18"/>
                <w:szCs w:val="18"/>
              </w:rPr>
              <w:t>Expectations met per advertising</w:t>
            </w:r>
            <w:r>
              <w:rPr>
                <w:rFonts w:ascii="Cambria" w:eastAsia="Cambria" w:hAnsi="Cambria" w:cs="Cambria"/>
                <w:sz w:val="18"/>
                <w:szCs w:val="18"/>
              </w:rPr>
              <w:tab/>
            </w:r>
            <w:r>
              <w:rPr>
                <w:rFonts w:ascii="Cambria" w:eastAsia="Cambria" w:hAnsi="Cambria" w:cs="Cambria"/>
                <w:sz w:val="18"/>
                <w:szCs w:val="18"/>
              </w:rPr>
              <w:tab/>
              <w:t xml:space="preserve">                                     1</w:t>
            </w:r>
            <w:r>
              <w:rPr>
                <w:rFonts w:ascii="Cambria" w:eastAsia="Cambria" w:hAnsi="Cambria" w:cs="Cambria"/>
                <w:sz w:val="18"/>
                <w:szCs w:val="18"/>
              </w:rPr>
              <w:tab/>
              <w:t xml:space="preserve">  2            3                 4                        5</w:t>
            </w:r>
          </w:p>
        </w:tc>
      </w:tr>
    </w:tbl>
    <w:p w:rsidR="00CB53E0" w:rsidRDefault="00E21164">
      <w:pPr>
        <w:ind w:left="-720" w:firstLine="720"/>
      </w:pPr>
      <w:r>
        <w:rPr>
          <w:rFonts w:ascii="Cambria" w:eastAsia="Cambria" w:hAnsi="Cambria" w:cs="Cambria"/>
          <w:sz w:val="22"/>
          <w:szCs w:val="22"/>
        </w:rPr>
        <w:tab/>
      </w:r>
    </w:p>
    <w:p w:rsidR="00CB53E0" w:rsidRDefault="00E21164">
      <w:r>
        <w:rPr>
          <w:rFonts w:ascii="Cambria" w:eastAsia="Cambria" w:hAnsi="Cambria" w:cs="Cambria"/>
          <w:b/>
          <w:sz w:val="21"/>
          <w:szCs w:val="21"/>
        </w:rPr>
        <w:t>II. Rate the methods and materials relative to their value in accomplishing the workshop:</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 xml:space="preserve">        </w:t>
      </w:r>
    </w:p>
    <w:tbl>
      <w:tblPr>
        <w:tblStyle w:val="a1"/>
        <w:tblW w:w="9263" w:type="dxa"/>
        <w:jc w:val="center"/>
        <w:tblLayout w:type="fixed"/>
        <w:tblLook w:val="0000" w:firstRow="0" w:lastRow="0" w:firstColumn="0" w:lastColumn="0" w:noHBand="0" w:noVBand="0"/>
      </w:tblPr>
      <w:tblGrid>
        <w:gridCol w:w="9263"/>
      </w:tblGrid>
      <w:tr w:rsidR="00CB53E0">
        <w:trPr>
          <w:trHeight w:val="320"/>
          <w:jc w:val="center"/>
        </w:trPr>
        <w:tc>
          <w:tcPr>
            <w:tcW w:w="9263" w:type="dxa"/>
          </w:tcPr>
          <w:p w:rsidR="00CB53E0" w:rsidRDefault="00E21164">
            <w:r>
              <w:rPr>
                <w:rFonts w:ascii="Cambria" w:eastAsia="Cambria" w:hAnsi="Cambria" w:cs="Cambria"/>
                <w:b/>
                <w:sz w:val="21"/>
                <w:szCs w:val="21"/>
              </w:rPr>
              <w:t xml:space="preserve">                                                                                           </w:t>
            </w:r>
            <w:r>
              <w:rPr>
                <w:rFonts w:ascii="Cambria" w:eastAsia="Cambria" w:hAnsi="Cambria" w:cs="Cambria"/>
                <w:sz w:val="21"/>
                <w:szCs w:val="21"/>
              </w:rPr>
              <w:t xml:space="preserve">NA         Poor </w:t>
            </w:r>
            <w:r>
              <w:rPr>
                <w:rFonts w:ascii="Cambria" w:eastAsia="Cambria" w:hAnsi="Cambria" w:cs="Cambria"/>
                <w:sz w:val="21"/>
                <w:szCs w:val="21"/>
              </w:rPr>
              <w:tab/>
            </w:r>
            <w:r>
              <w:rPr>
                <w:rFonts w:ascii="Cambria" w:eastAsia="Cambria" w:hAnsi="Cambria" w:cs="Cambria"/>
                <w:sz w:val="21"/>
                <w:szCs w:val="21"/>
              </w:rPr>
              <w:tab/>
            </w:r>
            <w:r>
              <w:rPr>
                <w:rFonts w:ascii="Cambria" w:eastAsia="Cambria" w:hAnsi="Cambria" w:cs="Cambria"/>
                <w:sz w:val="21"/>
                <w:szCs w:val="21"/>
              </w:rPr>
              <w:tab/>
              <w:t xml:space="preserve">     Outstanding</w:t>
            </w:r>
          </w:p>
        </w:tc>
      </w:tr>
      <w:tr w:rsidR="00CB53E0">
        <w:trPr>
          <w:trHeight w:val="260"/>
          <w:jc w:val="center"/>
        </w:trPr>
        <w:tc>
          <w:tcPr>
            <w:tcW w:w="9263" w:type="dxa"/>
          </w:tcPr>
          <w:p w:rsidR="00CB53E0" w:rsidRDefault="00CB53E0"/>
          <w:tbl>
            <w:tblPr>
              <w:tblStyle w:val="a0"/>
              <w:tblW w:w="8479" w:type="dxa"/>
              <w:tblBorders>
                <w:top w:val="nil"/>
                <w:left w:val="nil"/>
                <w:bottom w:val="nil"/>
                <w:right w:val="nil"/>
                <w:insideH w:val="nil"/>
                <w:insideV w:val="nil"/>
              </w:tblBorders>
              <w:tblLayout w:type="fixed"/>
              <w:tblLook w:val="0400" w:firstRow="0" w:lastRow="0" w:firstColumn="0" w:lastColumn="0" w:noHBand="0" w:noVBand="1"/>
            </w:tblPr>
            <w:tblGrid>
              <w:gridCol w:w="4249"/>
              <w:gridCol w:w="630"/>
              <w:gridCol w:w="720"/>
              <w:gridCol w:w="720"/>
              <w:gridCol w:w="630"/>
              <w:gridCol w:w="720"/>
              <w:gridCol w:w="810"/>
            </w:tblGrid>
            <w:tr w:rsidR="00CB53E0">
              <w:tc>
                <w:tcPr>
                  <w:tcW w:w="4249" w:type="dxa"/>
                </w:tcPr>
                <w:p w:rsidR="00CB53E0" w:rsidRDefault="00E21164">
                  <w:r>
                    <w:rPr>
                      <w:rFonts w:ascii="Cambria" w:eastAsia="Cambria" w:hAnsi="Cambria" w:cs="Cambria"/>
                      <w:sz w:val="18"/>
                      <w:szCs w:val="18"/>
                      <w:highlight w:val="cyan"/>
                    </w:rPr>
                    <w:t>Clarity of participant ha</w:t>
                  </w:r>
                  <w:r>
                    <w:rPr>
                      <w:rFonts w:ascii="Cambria" w:eastAsia="Cambria" w:hAnsi="Cambria" w:cs="Cambria"/>
                      <w:sz w:val="18"/>
                      <w:szCs w:val="18"/>
                      <w:highlight w:val="cyan"/>
                    </w:rPr>
                    <w:t>ndouts</w:t>
                  </w:r>
                </w:p>
              </w:tc>
              <w:tc>
                <w:tcPr>
                  <w:tcW w:w="630" w:type="dxa"/>
                </w:tcPr>
                <w:p w:rsidR="00CB53E0" w:rsidRDefault="00E21164">
                  <w:pPr>
                    <w:jc w:val="center"/>
                  </w:pPr>
                  <w:r>
                    <w:rPr>
                      <w:rFonts w:ascii="Cambria" w:eastAsia="Cambria" w:hAnsi="Cambria" w:cs="Cambria"/>
                      <w:sz w:val="18"/>
                      <w:szCs w:val="18"/>
                      <w:highlight w:val="cyan"/>
                    </w:rPr>
                    <w:t>0</w:t>
                  </w:r>
                </w:p>
              </w:tc>
              <w:tc>
                <w:tcPr>
                  <w:tcW w:w="720" w:type="dxa"/>
                </w:tcPr>
                <w:p w:rsidR="00CB53E0" w:rsidRDefault="00E21164">
                  <w:pPr>
                    <w:jc w:val="center"/>
                  </w:pPr>
                  <w:r>
                    <w:rPr>
                      <w:rFonts w:ascii="Cambria" w:eastAsia="Cambria" w:hAnsi="Cambria" w:cs="Cambria"/>
                      <w:sz w:val="18"/>
                      <w:szCs w:val="18"/>
                      <w:highlight w:val="cyan"/>
                    </w:rPr>
                    <w:t>1</w:t>
                  </w:r>
                </w:p>
              </w:tc>
              <w:tc>
                <w:tcPr>
                  <w:tcW w:w="720" w:type="dxa"/>
                </w:tcPr>
                <w:p w:rsidR="00CB53E0" w:rsidRDefault="00E21164">
                  <w:pPr>
                    <w:jc w:val="center"/>
                  </w:pPr>
                  <w:r>
                    <w:rPr>
                      <w:rFonts w:ascii="Cambria" w:eastAsia="Cambria" w:hAnsi="Cambria" w:cs="Cambria"/>
                      <w:sz w:val="18"/>
                      <w:szCs w:val="18"/>
                      <w:highlight w:val="cyan"/>
                    </w:rPr>
                    <w:t>2</w:t>
                  </w:r>
                </w:p>
              </w:tc>
              <w:tc>
                <w:tcPr>
                  <w:tcW w:w="630" w:type="dxa"/>
                </w:tcPr>
                <w:p w:rsidR="00CB53E0" w:rsidRDefault="00E21164">
                  <w:pPr>
                    <w:jc w:val="center"/>
                  </w:pPr>
                  <w:r>
                    <w:rPr>
                      <w:rFonts w:ascii="Cambria" w:eastAsia="Cambria" w:hAnsi="Cambria" w:cs="Cambria"/>
                      <w:sz w:val="18"/>
                      <w:szCs w:val="18"/>
                      <w:highlight w:val="cyan"/>
                    </w:rPr>
                    <w:t>3</w:t>
                  </w:r>
                </w:p>
              </w:tc>
              <w:tc>
                <w:tcPr>
                  <w:tcW w:w="720" w:type="dxa"/>
                </w:tcPr>
                <w:p w:rsidR="00CB53E0" w:rsidRDefault="00E21164">
                  <w:pPr>
                    <w:jc w:val="center"/>
                  </w:pPr>
                  <w:r>
                    <w:rPr>
                      <w:rFonts w:ascii="Cambria" w:eastAsia="Cambria" w:hAnsi="Cambria" w:cs="Cambria"/>
                      <w:sz w:val="18"/>
                      <w:szCs w:val="18"/>
                      <w:highlight w:val="cyan"/>
                    </w:rPr>
                    <w:t>4</w:t>
                  </w:r>
                </w:p>
              </w:tc>
              <w:tc>
                <w:tcPr>
                  <w:tcW w:w="810" w:type="dxa"/>
                </w:tcPr>
                <w:p w:rsidR="00CB53E0" w:rsidRDefault="00E21164">
                  <w:pPr>
                    <w:jc w:val="center"/>
                  </w:pPr>
                  <w:r>
                    <w:rPr>
                      <w:rFonts w:ascii="Cambria" w:eastAsia="Cambria" w:hAnsi="Cambria" w:cs="Cambria"/>
                      <w:sz w:val="18"/>
                      <w:szCs w:val="18"/>
                      <w:highlight w:val="cyan"/>
                    </w:rPr>
                    <w:t>5</w:t>
                  </w:r>
                </w:p>
              </w:tc>
            </w:tr>
            <w:tr w:rsidR="00CB53E0">
              <w:tc>
                <w:tcPr>
                  <w:tcW w:w="4249" w:type="dxa"/>
                </w:tcPr>
                <w:p w:rsidR="00CB53E0" w:rsidRDefault="00CB53E0"/>
              </w:tc>
              <w:tc>
                <w:tcPr>
                  <w:tcW w:w="630" w:type="dxa"/>
                </w:tcPr>
                <w:p w:rsidR="00CB53E0" w:rsidRDefault="00CB53E0">
                  <w:pPr>
                    <w:jc w:val="center"/>
                  </w:pPr>
                </w:p>
              </w:tc>
              <w:tc>
                <w:tcPr>
                  <w:tcW w:w="720" w:type="dxa"/>
                </w:tcPr>
                <w:p w:rsidR="00CB53E0" w:rsidRDefault="00CB53E0">
                  <w:pPr>
                    <w:jc w:val="center"/>
                  </w:pPr>
                </w:p>
              </w:tc>
              <w:tc>
                <w:tcPr>
                  <w:tcW w:w="720" w:type="dxa"/>
                </w:tcPr>
                <w:p w:rsidR="00CB53E0" w:rsidRDefault="00CB53E0">
                  <w:pPr>
                    <w:jc w:val="center"/>
                  </w:pPr>
                </w:p>
              </w:tc>
              <w:tc>
                <w:tcPr>
                  <w:tcW w:w="630" w:type="dxa"/>
                </w:tcPr>
                <w:p w:rsidR="00CB53E0" w:rsidRDefault="00CB53E0">
                  <w:pPr>
                    <w:jc w:val="center"/>
                  </w:pPr>
                </w:p>
              </w:tc>
              <w:tc>
                <w:tcPr>
                  <w:tcW w:w="720" w:type="dxa"/>
                </w:tcPr>
                <w:p w:rsidR="00CB53E0" w:rsidRDefault="00CB53E0">
                  <w:pPr>
                    <w:jc w:val="center"/>
                  </w:pPr>
                </w:p>
              </w:tc>
              <w:tc>
                <w:tcPr>
                  <w:tcW w:w="810" w:type="dxa"/>
                </w:tcPr>
                <w:p w:rsidR="00CB53E0" w:rsidRDefault="00CB53E0">
                  <w:pPr>
                    <w:jc w:val="center"/>
                  </w:pPr>
                </w:p>
              </w:tc>
            </w:tr>
            <w:tr w:rsidR="00CB53E0">
              <w:tc>
                <w:tcPr>
                  <w:tcW w:w="4249" w:type="dxa"/>
                </w:tcPr>
                <w:p w:rsidR="00CB53E0" w:rsidRDefault="00E21164">
                  <w:r>
                    <w:rPr>
                      <w:rFonts w:ascii="Cambria" w:eastAsia="Cambria" w:hAnsi="Cambria" w:cs="Cambria"/>
                      <w:sz w:val="18"/>
                      <w:szCs w:val="18"/>
                      <w:highlight w:val="cyan"/>
                    </w:rPr>
                    <w:t>Content of participant handouts</w:t>
                  </w:r>
                </w:p>
              </w:tc>
              <w:tc>
                <w:tcPr>
                  <w:tcW w:w="630" w:type="dxa"/>
                </w:tcPr>
                <w:p w:rsidR="00CB53E0" w:rsidRDefault="00E21164">
                  <w:pPr>
                    <w:jc w:val="center"/>
                  </w:pPr>
                  <w:r>
                    <w:rPr>
                      <w:rFonts w:ascii="Cambria" w:eastAsia="Cambria" w:hAnsi="Cambria" w:cs="Cambria"/>
                      <w:sz w:val="18"/>
                      <w:szCs w:val="18"/>
                      <w:highlight w:val="cyan"/>
                    </w:rPr>
                    <w:t>0</w:t>
                  </w:r>
                </w:p>
              </w:tc>
              <w:tc>
                <w:tcPr>
                  <w:tcW w:w="720" w:type="dxa"/>
                </w:tcPr>
                <w:p w:rsidR="00CB53E0" w:rsidRDefault="00E21164">
                  <w:pPr>
                    <w:jc w:val="center"/>
                  </w:pPr>
                  <w:r>
                    <w:rPr>
                      <w:rFonts w:ascii="Cambria" w:eastAsia="Cambria" w:hAnsi="Cambria" w:cs="Cambria"/>
                      <w:sz w:val="18"/>
                      <w:szCs w:val="18"/>
                      <w:highlight w:val="cyan"/>
                    </w:rPr>
                    <w:t>1</w:t>
                  </w:r>
                </w:p>
              </w:tc>
              <w:tc>
                <w:tcPr>
                  <w:tcW w:w="720" w:type="dxa"/>
                </w:tcPr>
                <w:p w:rsidR="00CB53E0" w:rsidRDefault="00E21164">
                  <w:pPr>
                    <w:jc w:val="center"/>
                  </w:pPr>
                  <w:r>
                    <w:rPr>
                      <w:rFonts w:ascii="Cambria" w:eastAsia="Cambria" w:hAnsi="Cambria" w:cs="Cambria"/>
                      <w:sz w:val="18"/>
                      <w:szCs w:val="18"/>
                      <w:highlight w:val="cyan"/>
                    </w:rPr>
                    <w:t>2</w:t>
                  </w:r>
                </w:p>
              </w:tc>
              <w:tc>
                <w:tcPr>
                  <w:tcW w:w="630" w:type="dxa"/>
                </w:tcPr>
                <w:p w:rsidR="00CB53E0" w:rsidRDefault="00E21164">
                  <w:pPr>
                    <w:jc w:val="center"/>
                  </w:pPr>
                  <w:r>
                    <w:rPr>
                      <w:rFonts w:ascii="Cambria" w:eastAsia="Cambria" w:hAnsi="Cambria" w:cs="Cambria"/>
                      <w:sz w:val="18"/>
                      <w:szCs w:val="18"/>
                      <w:highlight w:val="cyan"/>
                    </w:rPr>
                    <w:t>3</w:t>
                  </w:r>
                </w:p>
              </w:tc>
              <w:tc>
                <w:tcPr>
                  <w:tcW w:w="720" w:type="dxa"/>
                </w:tcPr>
                <w:p w:rsidR="00CB53E0" w:rsidRDefault="00E21164">
                  <w:pPr>
                    <w:jc w:val="center"/>
                  </w:pPr>
                  <w:r>
                    <w:rPr>
                      <w:rFonts w:ascii="Cambria" w:eastAsia="Cambria" w:hAnsi="Cambria" w:cs="Cambria"/>
                      <w:sz w:val="18"/>
                      <w:szCs w:val="18"/>
                      <w:highlight w:val="cyan"/>
                    </w:rPr>
                    <w:t>4</w:t>
                  </w:r>
                </w:p>
              </w:tc>
              <w:tc>
                <w:tcPr>
                  <w:tcW w:w="810" w:type="dxa"/>
                </w:tcPr>
                <w:p w:rsidR="00CB53E0" w:rsidRDefault="00E21164">
                  <w:pPr>
                    <w:jc w:val="center"/>
                  </w:pPr>
                  <w:r>
                    <w:rPr>
                      <w:rFonts w:ascii="Cambria" w:eastAsia="Cambria" w:hAnsi="Cambria" w:cs="Cambria"/>
                      <w:sz w:val="18"/>
                      <w:szCs w:val="18"/>
                      <w:highlight w:val="cyan"/>
                    </w:rPr>
                    <w:t>5</w:t>
                  </w:r>
                </w:p>
              </w:tc>
            </w:tr>
            <w:tr w:rsidR="00CB53E0">
              <w:tc>
                <w:tcPr>
                  <w:tcW w:w="4249" w:type="dxa"/>
                </w:tcPr>
                <w:p w:rsidR="00CB53E0" w:rsidRDefault="00CB53E0"/>
              </w:tc>
              <w:tc>
                <w:tcPr>
                  <w:tcW w:w="630" w:type="dxa"/>
                </w:tcPr>
                <w:p w:rsidR="00CB53E0" w:rsidRDefault="00CB53E0">
                  <w:pPr>
                    <w:jc w:val="center"/>
                  </w:pPr>
                </w:p>
              </w:tc>
              <w:tc>
                <w:tcPr>
                  <w:tcW w:w="720" w:type="dxa"/>
                </w:tcPr>
                <w:p w:rsidR="00CB53E0" w:rsidRDefault="00CB53E0">
                  <w:pPr>
                    <w:jc w:val="center"/>
                  </w:pPr>
                </w:p>
              </w:tc>
              <w:tc>
                <w:tcPr>
                  <w:tcW w:w="720" w:type="dxa"/>
                </w:tcPr>
                <w:p w:rsidR="00CB53E0" w:rsidRDefault="00CB53E0">
                  <w:pPr>
                    <w:jc w:val="center"/>
                  </w:pPr>
                </w:p>
              </w:tc>
              <w:tc>
                <w:tcPr>
                  <w:tcW w:w="630" w:type="dxa"/>
                </w:tcPr>
                <w:p w:rsidR="00CB53E0" w:rsidRDefault="00CB53E0">
                  <w:pPr>
                    <w:jc w:val="center"/>
                  </w:pPr>
                </w:p>
              </w:tc>
              <w:tc>
                <w:tcPr>
                  <w:tcW w:w="720" w:type="dxa"/>
                </w:tcPr>
                <w:p w:rsidR="00CB53E0" w:rsidRDefault="00CB53E0">
                  <w:pPr>
                    <w:jc w:val="center"/>
                  </w:pPr>
                </w:p>
              </w:tc>
              <w:tc>
                <w:tcPr>
                  <w:tcW w:w="810" w:type="dxa"/>
                </w:tcPr>
                <w:p w:rsidR="00CB53E0" w:rsidRDefault="00CB53E0">
                  <w:pPr>
                    <w:jc w:val="center"/>
                  </w:pPr>
                </w:p>
              </w:tc>
            </w:tr>
            <w:tr w:rsidR="00CB53E0">
              <w:tc>
                <w:tcPr>
                  <w:tcW w:w="4249" w:type="dxa"/>
                </w:tcPr>
                <w:p w:rsidR="00CB53E0" w:rsidRDefault="00E21164">
                  <w:r>
                    <w:rPr>
                      <w:rFonts w:ascii="Cambria" w:eastAsia="Cambria" w:hAnsi="Cambria" w:cs="Cambria"/>
                      <w:sz w:val="18"/>
                      <w:szCs w:val="18"/>
                      <w:highlight w:val="cyan"/>
                    </w:rPr>
                    <w:t xml:space="preserve">Pre course readings </w:t>
                  </w:r>
                  <w:r>
                    <w:rPr>
                      <w:rFonts w:ascii="Cambria" w:eastAsia="Cambria" w:hAnsi="Cambria" w:cs="Cambria"/>
                      <w:sz w:val="18"/>
                      <w:szCs w:val="18"/>
                      <w:highlight w:val="cyan"/>
                    </w:rPr>
                    <w:tab/>
                  </w:r>
                </w:p>
              </w:tc>
              <w:tc>
                <w:tcPr>
                  <w:tcW w:w="630" w:type="dxa"/>
                </w:tcPr>
                <w:p w:rsidR="00CB53E0" w:rsidRDefault="00E21164">
                  <w:pPr>
                    <w:jc w:val="center"/>
                  </w:pPr>
                  <w:r>
                    <w:rPr>
                      <w:rFonts w:ascii="Cambria" w:eastAsia="Cambria" w:hAnsi="Cambria" w:cs="Cambria"/>
                      <w:sz w:val="18"/>
                      <w:szCs w:val="18"/>
                      <w:highlight w:val="cyan"/>
                    </w:rPr>
                    <w:t>0</w:t>
                  </w:r>
                </w:p>
              </w:tc>
              <w:tc>
                <w:tcPr>
                  <w:tcW w:w="720" w:type="dxa"/>
                </w:tcPr>
                <w:p w:rsidR="00CB53E0" w:rsidRDefault="00E21164">
                  <w:pPr>
                    <w:jc w:val="center"/>
                  </w:pPr>
                  <w:r>
                    <w:rPr>
                      <w:rFonts w:ascii="Cambria" w:eastAsia="Cambria" w:hAnsi="Cambria" w:cs="Cambria"/>
                      <w:sz w:val="18"/>
                      <w:szCs w:val="18"/>
                      <w:highlight w:val="cyan"/>
                    </w:rPr>
                    <w:t>1</w:t>
                  </w:r>
                </w:p>
              </w:tc>
              <w:tc>
                <w:tcPr>
                  <w:tcW w:w="720" w:type="dxa"/>
                </w:tcPr>
                <w:p w:rsidR="00CB53E0" w:rsidRDefault="00E21164">
                  <w:pPr>
                    <w:jc w:val="center"/>
                  </w:pPr>
                  <w:r>
                    <w:rPr>
                      <w:rFonts w:ascii="Cambria" w:eastAsia="Cambria" w:hAnsi="Cambria" w:cs="Cambria"/>
                      <w:sz w:val="18"/>
                      <w:szCs w:val="18"/>
                      <w:highlight w:val="cyan"/>
                    </w:rPr>
                    <w:t>2</w:t>
                  </w:r>
                </w:p>
              </w:tc>
              <w:tc>
                <w:tcPr>
                  <w:tcW w:w="630" w:type="dxa"/>
                </w:tcPr>
                <w:p w:rsidR="00CB53E0" w:rsidRDefault="00E21164">
                  <w:pPr>
                    <w:jc w:val="center"/>
                  </w:pPr>
                  <w:r>
                    <w:rPr>
                      <w:rFonts w:ascii="Cambria" w:eastAsia="Cambria" w:hAnsi="Cambria" w:cs="Cambria"/>
                      <w:sz w:val="18"/>
                      <w:szCs w:val="18"/>
                      <w:highlight w:val="cyan"/>
                    </w:rPr>
                    <w:t>3</w:t>
                  </w:r>
                </w:p>
              </w:tc>
              <w:tc>
                <w:tcPr>
                  <w:tcW w:w="720" w:type="dxa"/>
                </w:tcPr>
                <w:p w:rsidR="00CB53E0" w:rsidRDefault="00E21164">
                  <w:pPr>
                    <w:jc w:val="center"/>
                  </w:pPr>
                  <w:r>
                    <w:rPr>
                      <w:rFonts w:ascii="Cambria" w:eastAsia="Cambria" w:hAnsi="Cambria" w:cs="Cambria"/>
                      <w:sz w:val="18"/>
                      <w:szCs w:val="18"/>
                      <w:highlight w:val="cyan"/>
                    </w:rPr>
                    <w:t>4</w:t>
                  </w:r>
                </w:p>
              </w:tc>
              <w:tc>
                <w:tcPr>
                  <w:tcW w:w="810" w:type="dxa"/>
                </w:tcPr>
                <w:p w:rsidR="00CB53E0" w:rsidRDefault="00E21164">
                  <w:pPr>
                    <w:jc w:val="center"/>
                  </w:pPr>
                  <w:r>
                    <w:rPr>
                      <w:rFonts w:ascii="Cambria" w:eastAsia="Cambria" w:hAnsi="Cambria" w:cs="Cambria"/>
                      <w:sz w:val="18"/>
                      <w:szCs w:val="18"/>
                      <w:highlight w:val="cyan"/>
                    </w:rPr>
                    <w:t>5</w:t>
                  </w:r>
                </w:p>
              </w:tc>
            </w:tr>
            <w:tr w:rsidR="00CB53E0">
              <w:tc>
                <w:tcPr>
                  <w:tcW w:w="4249" w:type="dxa"/>
                </w:tcPr>
                <w:p w:rsidR="00CB53E0" w:rsidRDefault="00CB53E0"/>
              </w:tc>
              <w:tc>
                <w:tcPr>
                  <w:tcW w:w="630" w:type="dxa"/>
                </w:tcPr>
                <w:p w:rsidR="00CB53E0" w:rsidRDefault="00CB53E0">
                  <w:pPr>
                    <w:jc w:val="center"/>
                  </w:pPr>
                </w:p>
              </w:tc>
              <w:tc>
                <w:tcPr>
                  <w:tcW w:w="720" w:type="dxa"/>
                </w:tcPr>
                <w:p w:rsidR="00CB53E0" w:rsidRDefault="00CB53E0">
                  <w:pPr>
                    <w:jc w:val="center"/>
                  </w:pPr>
                </w:p>
              </w:tc>
              <w:tc>
                <w:tcPr>
                  <w:tcW w:w="720" w:type="dxa"/>
                </w:tcPr>
                <w:p w:rsidR="00CB53E0" w:rsidRDefault="00CB53E0">
                  <w:pPr>
                    <w:jc w:val="center"/>
                  </w:pPr>
                </w:p>
              </w:tc>
              <w:tc>
                <w:tcPr>
                  <w:tcW w:w="630" w:type="dxa"/>
                </w:tcPr>
                <w:p w:rsidR="00CB53E0" w:rsidRDefault="00CB53E0">
                  <w:pPr>
                    <w:jc w:val="center"/>
                  </w:pPr>
                </w:p>
              </w:tc>
              <w:tc>
                <w:tcPr>
                  <w:tcW w:w="720" w:type="dxa"/>
                </w:tcPr>
                <w:p w:rsidR="00CB53E0" w:rsidRDefault="00CB53E0">
                  <w:pPr>
                    <w:jc w:val="center"/>
                  </w:pPr>
                </w:p>
              </w:tc>
              <w:tc>
                <w:tcPr>
                  <w:tcW w:w="810" w:type="dxa"/>
                </w:tcPr>
                <w:p w:rsidR="00CB53E0" w:rsidRDefault="00CB53E0">
                  <w:pPr>
                    <w:jc w:val="center"/>
                  </w:pPr>
                </w:p>
              </w:tc>
            </w:tr>
            <w:tr w:rsidR="00CB53E0">
              <w:tc>
                <w:tcPr>
                  <w:tcW w:w="4249" w:type="dxa"/>
                </w:tcPr>
                <w:p w:rsidR="00CB53E0" w:rsidRDefault="00E21164">
                  <w:r>
                    <w:rPr>
                      <w:rFonts w:ascii="Cambria" w:eastAsia="Cambria" w:hAnsi="Cambria" w:cs="Cambria"/>
                      <w:sz w:val="18"/>
                      <w:szCs w:val="18"/>
                      <w:highlight w:val="cyan"/>
                    </w:rPr>
                    <w:t>Exercises/group discussions</w:t>
                  </w:r>
                </w:p>
              </w:tc>
              <w:tc>
                <w:tcPr>
                  <w:tcW w:w="630" w:type="dxa"/>
                </w:tcPr>
                <w:p w:rsidR="00CB53E0" w:rsidRDefault="00E21164">
                  <w:pPr>
                    <w:jc w:val="center"/>
                  </w:pPr>
                  <w:r>
                    <w:rPr>
                      <w:rFonts w:ascii="Cambria" w:eastAsia="Cambria" w:hAnsi="Cambria" w:cs="Cambria"/>
                      <w:sz w:val="18"/>
                      <w:szCs w:val="18"/>
                      <w:highlight w:val="cyan"/>
                    </w:rPr>
                    <w:t>0</w:t>
                  </w:r>
                </w:p>
              </w:tc>
              <w:tc>
                <w:tcPr>
                  <w:tcW w:w="720" w:type="dxa"/>
                </w:tcPr>
                <w:p w:rsidR="00CB53E0" w:rsidRDefault="00E21164">
                  <w:pPr>
                    <w:jc w:val="center"/>
                  </w:pPr>
                  <w:r>
                    <w:rPr>
                      <w:rFonts w:ascii="Cambria" w:eastAsia="Cambria" w:hAnsi="Cambria" w:cs="Cambria"/>
                      <w:sz w:val="18"/>
                      <w:szCs w:val="18"/>
                      <w:highlight w:val="cyan"/>
                    </w:rPr>
                    <w:t>1</w:t>
                  </w:r>
                </w:p>
              </w:tc>
              <w:tc>
                <w:tcPr>
                  <w:tcW w:w="720" w:type="dxa"/>
                </w:tcPr>
                <w:p w:rsidR="00CB53E0" w:rsidRDefault="00E21164">
                  <w:pPr>
                    <w:jc w:val="center"/>
                  </w:pPr>
                  <w:r>
                    <w:rPr>
                      <w:rFonts w:ascii="Cambria" w:eastAsia="Cambria" w:hAnsi="Cambria" w:cs="Cambria"/>
                      <w:sz w:val="18"/>
                      <w:szCs w:val="18"/>
                      <w:highlight w:val="cyan"/>
                    </w:rPr>
                    <w:t>2</w:t>
                  </w:r>
                </w:p>
              </w:tc>
              <w:tc>
                <w:tcPr>
                  <w:tcW w:w="630" w:type="dxa"/>
                </w:tcPr>
                <w:p w:rsidR="00CB53E0" w:rsidRDefault="00E21164">
                  <w:pPr>
                    <w:jc w:val="center"/>
                  </w:pPr>
                  <w:r>
                    <w:rPr>
                      <w:rFonts w:ascii="Cambria" w:eastAsia="Cambria" w:hAnsi="Cambria" w:cs="Cambria"/>
                      <w:sz w:val="18"/>
                      <w:szCs w:val="18"/>
                      <w:highlight w:val="cyan"/>
                    </w:rPr>
                    <w:t>3</w:t>
                  </w:r>
                </w:p>
              </w:tc>
              <w:tc>
                <w:tcPr>
                  <w:tcW w:w="720" w:type="dxa"/>
                </w:tcPr>
                <w:p w:rsidR="00CB53E0" w:rsidRDefault="00E21164">
                  <w:pPr>
                    <w:jc w:val="center"/>
                  </w:pPr>
                  <w:r>
                    <w:rPr>
                      <w:rFonts w:ascii="Cambria" w:eastAsia="Cambria" w:hAnsi="Cambria" w:cs="Cambria"/>
                      <w:sz w:val="18"/>
                      <w:szCs w:val="18"/>
                      <w:highlight w:val="cyan"/>
                    </w:rPr>
                    <w:t>4</w:t>
                  </w:r>
                </w:p>
              </w:tc>
              <w:tc>
                <w:tcPr>
                  <w:tcW w:w="810" w:type="dxa"/>
                </w:tcPr>
                <w:p w:rsidR="00CB53E0" w:rsidRDefault="00E21164">
                  <w:pPr>
                    <w:jc w:val="center"/>
                  </w:pPr>
                  <w:r>
                    <w:rPr>
                      <w:rFonts w:ascii="Cambria" w:eastAsia="Cambria" w:hAnsi="Cambria" w:cs="Cambria"/>
                      <w:sz w:val="18"/>
                      <w:szCs w:val="18"/>
                      <w:highlight w:val="cyan"/>
                    </w:rPr>
                    <w:t>5</w:t>
                  </w:r>
                </w:p>
              </w:tc>
            </w:tr>
            <w:tr w:rsidR="00CB53E0">
              <w:tc>
                <w:tcPr>
                  <w:tcW w:w="4249" w:type="dxa"/>
                </w:tcPr>
                <w:p w:rsidR="00CB53E0" w:rsidRDefault="00CB53E0"/>
              </w:tc>
              <w:tc>
                <w:tcPr>
                  <w:tcW w:w="630" w:type="dxa"/>
                </w:tcPr>
                <w:p w:rsidR="00CB53E0" w:rsidRDefault="00CB53E0">
                  <w:pPr>
                    <w:jc w:val="center"/>
                  </w:pPr>
                </w:p>
              </w:tc>
              <w:tc>
                <w:tcPr>
                  <w:tcW w:w="720" w:type="dxa"/>
                </w:tcPr>
                <w:p w:rsidR="00CB53E0" w:rsidRDefault="00CB53E0">
                  <w:pPr>
                    <w:jc w:val="center"/>
                  </w:pPr>
                </w:p>
              </w:tc>
              <w:tc>
                <w:tcPr>
                  <w:tcW w:w="720" w:type="dxa"/>
                </w:tcPr>
                <w:p w:rsidR="00CB53E0" w:rsidRDefault="00CB53E0">
                  <w:pPr>
                    <w:jc w:val="center"/>
                  </w:pPr>
                </w:p>
              </w:tc>
              <w:tc>
                <w:tcPr>
                  <w:tcW w:w="630" w:type="dxa"/>
                </w:tcPr>
                <w:p w:rsidR="00CB53E0" w:rsidRDefault="00CB53E0">
                  <w:pPr>
                    <w:jc w:val="center"/>
                  </w:pPr>
                </w:p>
              </w:tc>
              <w:tc>
                <w:tcPr>
                  <w:tcW w:w="720" w:type="dxa"/>
                </w:tcPr>
                <w:p w:rsidR="00CB53E0" w:rsidRDefault="00CB53E0">
                  <w:pPr>
                    <w:jc w:val="center"/>
                  </w:pPr>
                </w:p>
              </w:tc>
              <w:tc>
                <w:tcPr>
                  <w:tcW w:w="810" w:type="dxa"/>
                </w:tcPr>
                <w:p w:rsidR="00CB53E0" w:rsidRDefault="00CB53E0">
                  <w:pPr>
                    <w:jc w:val="center"/>
                  </w:pPr>
                </w:p>
              </w:tc>
            </w:tr>
            <w:tr w:rsidR="00CB53E0">
              <w:tc>
                <w:tcPr>
                  <w:tcW w:w="4249" w:type="dxa"/>
                </w:tcPr>
                <w:p w:rsidR="00CB53E0" w:rsidRDefault="00E21164">
                  <w:r>
                    <w:rPr>
                      <w:rFonts w:ascii="Cambria" w:eastAsia="Cambria" w:hAnsi="Cambria" w:cs="Cambria"/>
                      <w:sz w:val="18"/>
                      <w:szCs w:val="18"/>
                      <w:highlight w:val="cyan"/>
                    </w:rPr>
                    <w:t>Clarity of audio-visual aids</w:t>
                  </w:r>
                  <w:r>
                    <w:rPr>
                      <w:rFonts w:ascii="Cambria" w:eastAsia="Cambria" w:hAnsi="Cambria" w:cs="Cambria"/>
                      <w:sz w:val="18"/>
                      <w:szCs w:val="18"/>
                      <w:highlight w:val="cyan"/>
                    </w:rPr>
                    <w:tab/>
                  </w:r>
                </w:p>
              </w:tc>
              <w:tc>
                <w:tcPr>
                  <w:tcW w:w="630" w:type="dxa"/>
                </w:tcPr>
                <w:p w:rsidR="00CB53E0" w:rsidRDefault="00E21164">
                  <w:pPr>
                    <w:jc w:val="center"/>
                  </w:pPr>
                  <w:r>
                    <w:rPr>
                      <w:rFonts w:ascii="Cambria" w:eastAsia="Cambria" w:hAnsi="Cambria" w:cs="Cambria"/>
                      <w:sz w:val="18"/>
                      <w:szCs w:val="18"/>
                      <w:highlight w:val="cyan"/>
                    </w:rPr>
                    <w:t>0</w:t>
                  </w:r>
                </w:p>
              </w:tc>
              <w:tc>
                <w:tcPr>
                  <w:tcW w:w="720" w:type="dxa"/>
                </w:tcPr>
                <w:p w:rsidR="00CB53E0" w:rsidRDefault="00E21164">
                  <w:pPr>
                    <w:jc w:val="center"/>
                  </w:pPr>
                  <w:r>
                    <w:rPr>
                      <w:rFonts w:ascii="Cambria" w:eastAsia="Cambria" w:hAnsi="Cambria" w:cs="Cambria"/>
                      <w:sz w:val="18"/>
                      <w:szCs w:val="18"/>
                      <w:highlight w:val="cyan"/>
                    </w:rPr>
                    <w:t>1</w:t>
                  </w:r>
                </w:p>
              </w:tc>
              <w:tc>
                <w:tcPr>
                  <w:tcW w:w="720" w:type="dxa"/>
                </w:tcPr>
                <w:p w:rsidR="00CB53E0" w:rsidRDefault="00E21164">
                  <w:pPr>
                    <w:jc w:val="center"/>
                  </w:pPr>
                  <w:r>
                    <w:rPr>
                      <w:rFonts w:ascii="Cambria" w:eastAsia="Cambria" w:hAnsi="Cambria" w:cs="Cambria"/>
                      <w:sz w:val="18"/>
                      <w:szCs w:val="18"/>
                      <w:highlight w:val="cyan"/>
                    </w:rPr>
                    <w:t>2</w:t>
                  </w:r>
                </w:p>
              </w:tc>
              <w:tc>
                <w:tcPr>
                  <w:tcW w:w="630" w:type="dxa"/>
                </w:tcPr>
                <w:p w:rsidR="00CB53E0" w:rsidRDefault="00E21164">
                  <w:pPr>
                    <w:jc w:val="center"/>
                  </w:pPr>
                  <w:r>
                    <w:rPr>
                      <w:rFonts w:ascii="Cambria" w:eastAsia="Cambria" w:hAnsi="Cambria" w:cs="Cambria"/>
                      <w:sz w:val="18"/>
                      <w:szCs w:val="18"/>
                      <w:highlight w:val="cyan"/>
                    </w:rPr>
                    <w:t>3</w:t>
                  </w:r>
                </w:p>
              </w:tc>
              <w:tc>
                <w:tcPr>
                  <w:tcW w:w="720" w:type="dxa"/>
                </w:tcPr>
                <w:p w:rsidR="00CB53E0" w:rsidRDefault="00E21164">
                  <w:pPr>
                    <w:jc w:val="center"/>
                  </w:pPr>
                  <w:r>
                    <w:rPr>
                      <w:rFonts w:ascii="Cambria" w:eastAsia="Cambria" w:hAnsi="Cambria" w:cs="Cambria"/>
                      <w:sz w:val="18"/>
                      <w:szCs w:val="18"/>
                      <w:highlight w:val="cyan"/>
                    </w:rPr>
                    <w:t>4</w:t>
                  </w:r>
                </w:p>
              </w:tc>
              <w:tc>
                <w:tcPr>
                  <w:tcW w:w="810" w:type="dxa"/>
                </w:tcPr>
                <w:p w:rsidR="00CB53E0" w:rsidRDefault="00E21164">
                  <w:pPr>
                    <w:jc w:val="center"/>
                  </w:pPr>
                  <w:r>
                    <w:rPr>
                      <w:rFonts w:ascii="Cambria" w:eastAsia="Cambria" w:hAnsi="Cambria" w:cs="Cambria"/>
                      <w:sz w:val="18"/>
                      <w:szCs w:val="18"/>
                      <w:highlight w:val="cyan"/>
                    </w:rPr>
                    <w:t>5</w:t>
                  </w:r>
                </w:p>
              </w:tc>
            </w:tr>
            <w:tr w:rsidR="00CB53E0">
              <w:tc>
                <w:tcPr>
                  <w:tcW w:w="4249" w:type="dxa"/>
                </w:tcPr>
                <w:p w:rsidR="00CB53E0" w:rsidRDefault="00CB53E0"/>
              </w:tc>
              <w:tc>
                <w:tcPr>
                  <w:tcW w:w="630" w:type="dxa"/>
                </w:tcPr>
                <w:p w:rsidR="00CB53E0" w:rsidRDefault="00CB53E0">
                  <w:pPr>
                    <w:jc w:val="center"/>
                  </w:pPr>
                </w:p>
              </w:tc>
              <w:tc>
                <w:tcPr>
                  <w:tcW w:w="720" w:type="dxa"/>
                </w:tcPr>
                <w:p w:rsidR="00CB53E0" w:rsidRDefault="00CB53E0">
                  <w:pPr>
                    <w:jc w:val="center"/>
                  </w:pPr>
                </w:p>
              </w:tc>
              <w:tc>
                <w:tcPr>
                  <w:tcW w:w="720" w:type="dxa"/>
                </w:tcPr>
                <w:p w:rsidR="00CB53E0" w:rsidRDefault="00CB53E0">
                  <w:pPr>
                    <w:jc w:val="center"/>
                  </w:pPr>
                </w:p>
              </w:tc>
              <w:tc>
                <w:tcPr>
                  <w:tcW w:w="630" w:type="dxa"/>
                </w:tcPr>
                <w:p w:rsidR="00CB53E0" w:rsidRDefault="00CB53E0">
                  <w:pPr>
                    <w:jc w:val="center"/>
                  </w:pPr>
                </w:p>
              </w:tc>
              <w:tc>
                <w:tcPr>
                  <w:tcW w:w="720" w:type="dxa"/>
                </w:tcPr>
                <w:p w:rsidR="00CB53E0" w:rsidRDefault="00CB53E0">
                  <w:pPr>
                    <w:jc w:val="center"/>
                  </w:pPr>
                </w:p>
              </w:tc>
              <w:tc>
                <w:tcPr>
                  <w:tcW w:w="810" w:type="dxa"/>
                </w:tcPr>
                <w:p w:rsidR="00CB53E0" w:rsidRDefault="00CB53E0">
                  <w:pPr>
                    <w:jc w:val="center"/>
                  </w:pPr>
                </w:p>
              </w:tc>
            </w:tr>
            <w:tr w:rsidR="00CB53E0">
              <w:trPr>
                <w:trHeight w:val="80"/>
              </w:trPr>
              <w:tc>
                <w:tcPr>
                  <w:tcW w:w="4249" w:type="dxa"/>
                </w:tcPr>
                <w:p w:rsidR="00CB53E0" w:rsidRDefault="00E21164">
                  <w:r>
                    <w:rPr>
                      <w:rFonts w:ascii="Cambria" w:eastAsia="Cambria" w:hAnsi="Cambria" w:cs="Cambria"/>
                      <w:sz w:val="18"/>
                      <w:szCs w:val="18"/>
                      <w:highlight w:val="cyan"/>
                    </w:rPr>
                    <w:t>Content of audio-visual aids</w:t>
                  </w:r>
                  <w:r>
                    <w:rPr>
                      <w:rFonts w:ascii="Cambria" w:eastAsia="Cambria" w:hAnsi="Cambria" w:cs="Cambria"/>
                      <w:sz w:val="18"/>
                      <w:szCs w:val="18"/>
                      <w:highlight w:val="cyan"/>
                    </w:rPr>
                    <w:tab/>
                  </w:r>
                </w:p>
              </w:tc>
              <w:tc>
                <w:tcPr>
                  <w:tcW w:w="630" w:type="dxa"/>
                </w:tcPr>
                <w:p w:rsidR="00CB53E0" w:rsidRDefault="00E21164">
                  <w:pPr>
                    <w:jc w:val="center"/>
                  </w:pPr>
                  <w:r>
                    <w:rPr>
                      <w:rFonts w:ascii="Cambria" w:eastAsia="Cambria" w:hAnsi="Cambria" w:cs="Cambria"/>
                      <w:sz w:val="18"/>
                      <w:szCs w:val="18"/>
                      <w:highlight w:val="cyan"/>
                    </w:rPr>
                    <w:t>0</w:t>
                  </w:r>
                </w:p>
              </w:tc>
              <w:tc>
                <w:tcPr>
                  <w:tcW w:w="720" w:type="dxa"/>
                </w:tcPr>
                <w:p w:rsidR="00CB53E0" w:rsidRDefault="00E21164">
                  <w:pPr>
                    <w:jc w:val="center"/>
                  </w:pPr>
                  <w:r>
                    <w:rPr>
                      <w:rFonts w:ascii="Cambria" w:eastAsia="Cambria" w:hAnsi="Cambria" w:cs="Cambria"/>
                      <w:sz w:val="18"/>
                      <w:szCs w:val="18"/>
                      <w:highlight w:val="cyan"/>
                    </w:rPr>
                    <w:t>1</w:t>
                  </w:r>
                </w:p>
              </w:tc>
              <w:tc>
                <w:tcPr>
                  <w:tcW w:w="720" w:type="dxa"/>
                </w:tcPr>
                <w:p w:rsidR="00CB53E0" w:rsidRDefault="00E21164">
                  <w:pPr>
                    <w:jc w:val="center"/>
                  </w:pPr>
                  <w:r>
                    <w:rPr>
                      <w:rFonts w:ascii="Cambria" w:eastAsia="Cambria" w:hAnsi="Cambria" w:cs="Cambria"/>
                      <w:sz w:val="18"/>
                      <w:szCs w:val="18"/>
                      <w:highlight w:val="cyan"/>
                    </w:rPr>
                    <w:t>2</w:t>
                  </w:r>
                </w:p>
              </w:tc>
              <w:tc>
                <w:tcPr>
                  <w:tcW w:w="630" w:type="dxa"/>
                </w:tcPr>
                <w:p w:rsidR="00CB53E0" w:rsidRDefault="00E21164">
                  <w:pPr>
                    <w:jc w:val="center"/>
                  </w:pPr>
                  <w:r>
                    <w:rPr>
                      <w:rFonts w:ascii="Cambria" w:eastAsia="Cambria" w:hAnsi="Cambria" w:cs="Cambria"/>
                      <w:sz w:val="18"/>
                      <w:szCs w:val="18"/>
                      <w:highlight w:val="cyan"/>
                    </w:rPr>
                    <w:t>3</w:t>
                  </w:r>
                </w:p>
              </w:tc>
              <w:tc>
                <w:tcPr>
                  <w:tcW w:w="720" w:type="dxa"/>
                </w:tcPr>
                <w:p w:rsidR="00CB53E0" w:rsidRDefault="00E21164">
                  <w:pPr>
                    <w:jc w:val="center"/>
                  </w:pPr>
                  <w:r>
                    <w:rPr>
                      <w:rFonts w:ascii="Cambria" w:eastAsia="Cambria" w:hAnsi="Cambria" w:cs="Cambria"/>
                      <w:sz w:val="18"/>
                      <w:szCs w:val="18"/>
                      <w:highlight w:val="cyan"/>
                    </w:rPr>
                    <w:t>4</w:t>
                  </w:r>
                </w:p>
              </w:tc>
              <w:tc>
                <w:tcPr>
                  <w:tcW w:w="810" w:type="dxa"/>
                </w:tcPr>
                <w:p w:rsidR="00CB53E0" w:rsidRDefault="00E21164">
                  <w:pPr>
                    <w:jc w:val="center"/>
                  </w:pPr>
                  <w:r>
                    <w:rPr>
                      <w:rFonts w:ascii="Cambria" w:eastAsia="Cambria" w:hAnsi="Cambria" w:cs="Cambria"/>
                      <w:sz w:val="18"/>
                      <w:szCs w:val="18"/>
                      <w:highlight w:val="cyan"/>
                    </w:rPr>
                    <w:t>5</w:t>
                  </w:r>
                </w:p>
              </w:tc>
            </w:tr>
          </w:tbl>
          <w:p w:rsidR="00CB53E0" w:rsidRDefault="00CB53E0"/>
        </w:tc>
      </w:tr>
    </w:tbl>
    <w:p w:rsidR="00CB53E0" w:rsidRDefault="00CB53E0"/>
    <w:p w:rsidR="00CB53E0" w:rsidRDefault="00E21164">
      <w:r>
        <w:rPr>
          <w:rFonts w:ascii="Cambria" w:eastAsia="Cambria" w:hAnsi="Cambria" w:cs="Cambria"/>
          <w:b/>
          <w:sz w:val="22"/>
          <w:szCs w:val="22"/>
        </w:rPr>
        <w:t xml:space="preserve">III. What aspect of the workshop methods/materials was most valuable to you? Why? </w:t>
      </w:r>
    </w:p>
    <w:p w:rsidR="00CB53E0" w:rsidRDefault="00CB53E0"/>
    <w:p w:rsidR="00CB53E0" w:rsidRDefault="00E21164">
      <w:r>
        <w:rPr>
          <w:rFonts w:ascii="Cambria" w:eastAsia="Cambria" w:hAnsi="Cambria" w:cs="Cambria"/>
          <w:sz w:val="18"/>
          <w:szCs w:val="18"/>
        </w:rPr>
        <w:t xml:space="preserve">____________________________________________________________________________________________________________________________________________ </w:t>
      </w:r>
    </w:p>
    <w:p w:rsidR="00CB53E0" w:rsidRDefault="00CB53E0"/>
    <w:p w:rsidR="00CB53E0" w:rsidRDefault="00E21164">
      <w:r>
        <w:rPr>
          <w:rFonts w:ascii="Cambria" w:eastAsia="Cambria" w:hAnsi="Cambria" w:cs="Cambria"/>
          <w:sz w:val="18"/>
          <w:szCs w:val="18"/>
        </w:rPr>
        <w:t>____________________________________________________________________________________________________________________________________________</w:t>
      </w:r>
    </w:p>
    <w:p w:rsidR="00CB53E0" w:rsidRDefault="00CB53E0"/>
    <w:p w:rsidR="00CB53E0" w:rsidRDefault="00E21164">
      <w:r>
        <w:rPr>
          <w:rFonts w:ascii="Cambria" w:eastAsia="Cambria" w:hAnsi="Cambria" w:cs="Cambria"/>
          <w:b/>
          <w:sz w:val="22"/>
          <w:szCs w:val="22"/>
        </w:rPr>
        <w:t xml:space="preserve">IV. What aspect of the workshop methods/materials would you change?  Why? </w:t>
      </w:r>
    </w:p>
    <w:p w:rsidR="00CB53E0" w:rsidRDefault="00CB53E0"/>
    <w:p w:rsidR="00CB53E0" w:rsidRDefault="00E21164">
      <w:pPr>
        <w:jc w:val="center"/>
      </w:pPr>
      <w:r>
        <w:rPr>
          <w:rFonts w:ascii="Cambria" w:eastAsia="Cambria" w:hAnsi="Cambria" w:cs="Cambria"/>
          <w:sz w:val="18"/>
          <w:szCs w:val="18"/>
        </w:rPr>
        <w:t>______________________________________</w:t>
      </w:r>
      <w:r>
        <w:rPr>
          <w:rFonts w:ascii="Cambria" w:eastAsia="Cambria" w:hAnsi="Cambria" w:cs="Cambria"/>
          <w:sz w:val="18"/>
          <w:szCs w:val="18"/>
        </w:rPr>
        <w:t xml:space="preserve">______________________________________________________________________________________________________ </w:t>
      </w:r>
    </w:p>
    <w:p w:rsidR="00CB53E0" w:rsidRDefault="00CB53E0">
      <w:pPr>
        <w:jc w:val="center"/>
      </w:pPr>
    </w:p>
    <w:p w:rsidR="00CB53E0" w:rsidRDefault="00E21164">
      <w:pPr>
        <w:jc w:val="center"/>
      </w:pPr>
      <w:r>
        <w:rPr>
          <w:rFonts w:ascii="Cambria" w:eastAsia="Cambria" w:hAnsi="Cambria" w:cs="Cambria"/>
          <w:sz w:val="18"/>
          <w:szCs w:val="18"/>
        </w:rPr>
        <w:t xml:space="preserve">____________________________________________________________________________________________________________________________________________ </w:t>
      </w:r>
      <w:r>
        <w:rPr>
          <w:rFonts w:ascii="Cambria" w:eastAsia="Cambria" w:hAnsi="Cambria" w:cs="Cambria"/>
          <w:i/>
          <w:sz w:val="20"/>
          <w:szCs w:val="20"/>
        </w:rPr>
        <w:t xml:space="preserve">Continued </w:t>
      </w:r>
      <w:r>
        <w:rPr>
          <w:rFonts w:ascii="Cambria" w:eastAsia="Cambria" w:hAnsi="Cambria" w:cs="Cambria"/>
          <w:i/>
          <w:sz w:val="20"/>
          <w:szCs w:val="20"/>
        </w:rPr>
        <w:t>on reverse side</w:t>
      </w:r>
    </w:p>
    <w:p w:rsidR="00CB53E0" w:rsidRDefault="00E21164">
      <w:pPr>
        <w:numPr>
          <w:ilvl w:val="0"/>
          <w:numId w:val="4"/>
        </w:numPr>
        <w:ind w:left="360" w:hanging="720"/>
        <w:rPr>
          <w:rFonts w:ascii="Cambria" w:eastAsia="Cambria" w:hAnsi="Cambria" w:cs="Cambria"/>
          <w:b/>
          <w:sz w:val="22"/>
          <w:szCs w:val="22"/>
        </w:rPr>
      </w:pPr>
      <w:r>
        <w:rPr>
          <w:rFonts w:ascii="Cambria" w:eastAsia="Cambria" w:hAnsi="Cambria" w:cs="Cambria"/>
          <w:b/>
          <w:sz w:val="22"/>
          <w:szCs w:val="22"/>
        </w:rPr>
        <w:t>How would you rate the individual instructor</w:t>
      </w:r>
      <w:r>
        <w:rPr>
          <w:rFonts w:ascii="Cambria" w:eastAsia="Cambria" w:hAnsi="Cambria" w:cs="Cambria"/>
          <w:b/>
          <w:sz w:val="22"/>
          <w:szCs w:val="22"/>
          <w:highlight w:val="cyan"/>
        </w:rPr>
        <w:t>(s)?</w:t>
      </w:r>
    </w:p>
    <w:p w:rsidR="00CB53E0" w:rsidRDefault="00CB53E0">
      <w:pPr>
        <w:ind w:left="-270"/>
      </w:pPr>
    </w:p>
    <w:p w:rsidR="00CB53E0" w:rsidRDefault="00E21164">
      <w:pPr>
        <w:ind w:left="-270"/>
      </w:pPr>
      <w:r>
        <w:rPr>
          <w:rFonts w:ascii="Cambria" w:eastAsia="Cambria" w:hAnsi="Cambria" w:cs="Cambria"/>
          <w:b/>
          <w:sz w:val="22"/>
          <w:szCs w:val="22"/>
        </w:rPr>
        <w:t xml:space="preserve">Instructor: </w:t>
      </w:r>
      <w:r>
        <w:rPr>
          <w:rFonts w:ascii="Cambria" w:eastAsia="Cambria" w:hAnsi="Cambria" w:cs="Cambria"/>
          <w:b/>
          <w:sz w:val="20"/>
          <w:szCs w:val="20"/>
          <w:highlight w:val="cyan"/>
        </w:rPr>
        <w:t>NAME</w:t>
      </w:r>
    </w:p>
    <w:p w:rsidR="00CB53E0" w:rsidRDefault="00E21164">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 xml:space="preserve">            </w:t>
      </w:r>
    </w:p>
    <w:tbl>
      <w:tblPr>
        <w:tblStyle w:val="a2"/>
        <w:tblW w:w="9323" w:type="dxa"/>
        <w:tblInd w:w="-367" w:type="dxa"/>
        <w:tblLayout w:type="fixed"/>
        <w:tblLook w:val="0000" w:firstRow="0" w:lastRow="0" w:firstColumn="0" w:lastColumn="0" w:noHBand="0" w:noVBand="0"/>
      </w:tblPr>
      <w:tblGrid>
        <w:gridCol w:w="9323"/>
      </w:tblGrid>
      <w:tr w:rsidR="00CB53E0">
        <w:tc>
          <w:tcPr>
            <w:tcW w:w="9323" w:type="dxa"/>
          </w:tcPr>
          <w:p w:rsidR="00CB53E0" w:rsidRDefault="00E21164">
            <w:r>
              <w:rPr>
                <w:rFonts w:ascii="Cambria" w:eastAsia="Cambria" w:hAnsi="Cambria" w:cs="Cambria"/>
                <w:sz w:val="20"/>
                <w:szCs w:val="20"/>
              </w:rPr>
              <w:t xml:space="preserve">                                                                                     Poor  </w:t>
            </w:r>
            <w:r>
              <w:rPr>
                <w:rFonts w:ascii="Cambria" w:eastAsia="Cambria" w:hAnsi="Cambria" w:cs="Cambria"/>
                <w:sz w:val="20"/>
                <w:szCs w:val="20"/>
              </w:rPr>
              <w:tab/>
            </w:r>
            <w:r>
              <w:rPr>
                <w:rFonts w:ascii="Cambria" w:eastAsia="Cambria" w:hAnsi="Cambria" w:cs="Cambria"/>
                <w:sz w:val="20"/>
                <w:szCs w:val="20"/>
              </w:rPr>
              <w:tab/>
              <w:t xml:space="preserve">                          Outstanding</w:t>
            </w:r>
          </w:p>
        </w:tc>
      </w:tr>
      <w:tr w:rsidR="00CB53E0">
        <w:tc>
          <w:tcPr>
            <w:tcW w:w="9323" w:type="dxa"/>
          </w:tcPr>
          <w:p w:rsidR="00CB53E0" w:rsidRDefault="00E21164">
            <w:r>
              <w:rPr>
                <w:rFonts w:ascii="Cambria" w:eastAsia="Cambria" w:hAnsi="Cambria" w:cs="Cambria"/>
                <w:sz w:val="20"/>
                <w:szCs w:val="20"/>
              </w:rPr>
              <w:t xml:space="preserve">Knowledge of topic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t xml:space="preserve">    2                3              4                5</w:t>
            </w:r>
            <w:r>
              <w:rPr>
                <w:rFonts w:ascii="Cambria" w:eastAsia="Cambria" w:hAnsi="Cambria" w:cs="Cambria"/>
                <w:sz w:val="18"/>
                <w:szCs w:val="18"/>
              </w:rPr>
              <w:tab/>
            </w:r>
          </w:p>
        </w:tc>
      </w:tr>
      <w:tr w:rsidR="00CB53E0">
        <w:tc>
          <w:tcPr>
            <w:tcW w:w="9323" w:type="dxa"/>
          </w:tcPr>
          <w:p w:rsidR="00CB53E0" w:rsidRDefault="00CB53E0"/>
        </w:tc>
      </w:tr>
      <w:tr w:rsidR="00CB53E0">
        <w:tc>
          <w:tcPr>
            <w:tcW w:w="9323" w:type="dxa"/>
          </w:tcPr>
          <w:p w:rsidR="00CB53E0" w:rsidRDefault="00E21164">
            <w:r>
              <w:rPr>
                <w:rFonts w:ascii="Cambria" w:eastAsia="Cambria" w:hAnsi="Cambria" w:cs="Cambria"/>
                <w:sz w:val="20"/>
                <w:szCs w:val="20"/>
              </w:rPr>
              <w:t>Preparation</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t xml:space="preserve">    2                3              4                5</w:t>
            </w:r>
          </w:p>
        </w:tc>
      </w:tr>
      <w:tr w:rsidR="00CB53E0">
        <w:tc>
          <w:tcPr>
            <w:tcW w:w="9323" w:type="dxa"/>
          </w:tcPr>
          <w:p w:rsidR="00CB53E0" w:rsidRDefault="00CB53E0"/>
        </w:tc>
      </w:tr>
      <w:tr w:rsidR="00CB53E0">
        <w:tc>
          <w:tcPr>
            <w:tcW w:w="9323" w:type="dxa"/>
          </w:tcPr>
          <w:p w:rsidR="00CB53E0" w:rsidRDefault="00E21164">
            <w:r>
              <w:rPr>
                <w:rFonts w:ascii="Cambria" w:eastAsia="Cambria" w:hAnsi="Cambria" w:cs="Cambria"/>
                <w:sz w:val="20"/>
                <w:szCs w:val="20"/>
              </w:rPr>
              <w:t>Ability to handle questions</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t xml:space="preserve">    2                3              4                5</w:t>
            </w:r>
          </w:p>
        </w:tc>
      </w:tr>
      <w:tr w:rsidR="00CB53E0">
        <w:tc>
          <w:tcPr>
            <w:tcW w:w="9323" w:type="dxa"/>
          </w:tcPr>
          <w:p w:rsidR="00CB53E0" w:rsidRDefault="00CB53E0"/>
        </w:tc>
      </w:tr>
      <w:tr w:rsidR="00CB53E0">
        <w:tc>
          <w:tcPr>
            <w:tcW w:w="9323" w:type="dxa"/>
          </w:tcPr>
          <w:p w:rsidR="00CB53E0" w:rsidRDefault="00E21164">
            <w:r>
              <w:rPr>
                <w:rFonts w:ascii="Cambria" w:eastAsia="Cambria" w:hAnsi="Cambria" w:cs="Cambria"/>
                <w:sz w:val="20"/>
                <w:szCs w:val="20"/>
              </w:rPr>
              <w:t xml:space="preserve">Presentation skills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t xml:space="preserve">  </w:t>
            </w:r>
            <w:r>
              <w:rPr>
                <w:rFonts w:ascii="Cambria" w:eastAsia="Cambria" w:hAnsi="Cambria" w:cs="Cambria"/>
                <w:sz w:val="18"/>
                <w:szCs w:val="18"/>
              </w:rPr>
              <w:t xml:space="preserve">  2                3              4                5</w:t>
            </w:r>
          </w:p>
        </w:tc>
      </w:tr>
    </w:tbl>
    <w:p w:rsidR="00CB53E0" w:rsidRDefault="00CB53E0"/>
    <w:p w:rsidR="00CB53E0" w:rsidRDefault="00E21164">
      <w:pPr>
        <w:spacing w:line="360" w:lineRule="auto"/>
      </w:pPr>
      <w:r>
        <w:rPr>
          <w:rFonts w:ascii="Cambria" w:eastAsia="Cambria" w:hAnsi="Cambria" w:cs="Cambria"/>
          <w:sz w:val="18"/>
          <w:szCs w:val="18"/>
        </w:rPr>
        <w:t>Additional Comments for Tim:</w:t>
      </w:r>
      <w:r>
        <w:rPr>
          <w:rFonts w:ascii="Cambria" w:eastAsia="Cambria" w:hAnsi="Cambria" w:cs="Cambria"/>
          <w:sz w:val="20"/>
          <w:szCs w:val="20"/>
        </w:rPr>
        <w:t xml:space="preserve">   __________________________________________________________________________________________________________________</w:t>
      </w:r>
    </w:p>
    <w:p w:rsidR="00CB53E0" w:rsidRDefault="00E21164">
      <w:pPr>
        <w:spacing w:line="360" w:lineRule="auto"/>
      </w:pPr>
      <w:r>
        <w:rPr>
          <w:rFonts w:ascii="Cambria" w:eastAsia="Cambria" w:hAnsi="Cambria" w:cs="Cambria"/>
          <w:sz w:val="20"/>
          <w:szCs w:val="20"/>
        </w:rPr>
        <w:t>_______________________________________________________</w:t>
      </w:r>
      <w:r>
        <w:rPr>
          <w:rFonts w:ascii="Cambria" w:eastAsia="Cambria" w:hAnsi="Cambria" w:cs="Cambria"/>
          <w:sz w:val="20"/>
          <w:szCs w:val="20"/>
        </w:rPr>
        <w:t>___________________________________________________________</w:t>
      </w:r>
    </w:p>
    <w:p w:rsidR="00CB53E0" w:rsidRDefault="00CB53E0">
      <w:pPr>
        <w:spacing w:line="360" w:lineRule="auto"/>
      </w:pPr>
    </w:p>
    <w:p w:rsidR="00CB53E0" w:rsidRDefault="00E21164">
      <w:pPr>
        <w:ind w:left="-270"/>
      </w:pPr>
      <w:r>
        <w:rPr>
          <w:rFonts w:ascii="Cambria" w:eastAsia="Cambria" w:hAnsi="Cambria" w:cs="Cambria"/>
          <w:b/>
          <w:sz w:val="22"/>
          <w:szCs w:val="22"/>
        </w:rPr>
        <w:t xml:space="preserve">Instructor: </w:t>
      </w:r>
      <w:r>
        <w:rPr>
          <w:rFonts w:ascii="Cambria" w:eastAsia="Cambria" w:hAnsi="Cambria" w:cs="Cambria"/>
          <w:b/>
          <w:sz w:val="20"/>
          <w:szCs w:val="20"/>
          <w:highlight w:val="cyan"/>
        </w:rPr>
        <w:t>NAME (if applicable)</w:t>
      </w:r>
      <w:r>
        <w:rPr>
          <w:rFonts w:ascii="Cambria" w:eastAsia="Cambria" w:hAnsi="Cambria" w:cs="Cambria"/>
          <w:b/>
          <w:sz w:val="20"/>
          <w:szCs w:val="20"/>
        </w:rPr>
        <w:t xml:space="preserve">  </w:t>
      </w:r>
    </w:p>
    <w:tbl>
      <w:tblPr>
        <w:tblStyle w:val="a3"/>
        <w:tblW w:w="9323" w:type="dxa"/>
        <w:tblInd w:w="-367" w:type="dxa"/>
        <w:tblLayout w:type="fixed"/>
        <w:tblLook w:val="0000" w:firstRow="0" w:lastRow="0" w:firstColumn="0" w:lastColumn="0" w:noHBand="0" w:noVBand="0"/>
      </w:tblPr>
      <w:tblGrid>
        <w:gridCol w:w="9323"/>
      </w:tblGrid>
      <w:tr w:rsidR="00CB53E0">
        <w:tc>
          <w:tcPr>
            <w:tcW w:w="9323" w:type="dxa"/>
          </w:tcPr>
          <w:p w:rsidR="00CB53E0" w:rsidRDefault="00E21164">
            <w:r>
              <w:rPr>
                <w:rFonts w:ascii="Cambria" w:eastAsia="Cambria" w:hAnsi="Cambria" w:cs="Cambria"/>
                <w:sz w:val="20"/>
                <w:szCs w:val="20"/>
              </w:rPr>
              <w:t xml:space="preserve">                                                                                      Poor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Outstanding</w:t>
            </w:r>
          </w:p>
        </w:tc>
      </w:tr>
      <w:tr w:rsidR="00CB53E0">
        <w:tc>
          <w:tcPr>
            <w:tcW w:w="9323" w:type="dxa"/>
          </w:tcPr>
          <w:p w:rsidR="00CB53E0" w:rsidRDefault="00E21164">
            <w:r>
              <w:rPr>
                <w:rFonts w:ascii="Cambria" w:eastAsia="Cambria" w:hAnsi="Cambria" w:cs="Cambria"/>
                <w:sz w:val="20"/>
                <w:szCs w:val="20"/>
              </w:rPr>
              <w:t xml:space="preserve">Knowledge of topic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r>
            <w:r>
              <w:rPr>
                <w:rFonts w:ascii="Cambria" w:eastAsia="Cambria" w:hAnsi="Cambria" w:cs="Cambria"/>
                <w:sz w:val="18"/>
                <w:szCs w:val="18"/>
              </w:rPr>
              <w:t xml:space="preserve">    2                3              4                5</w:t>
            </w:r>
            <w:r>
              <w:rPr>
                <w:rFonts w:ascii="Cambria" w:eastAsia="Cambria" w:hAnsi="Cambria" w:cs="Cambria"/>
                <w:sz w:val="20"/>
                <w:szCs w:val="20"/>
              </w:rPr>
              <w:tab/>
            </w:r>
          </w:p>
        </w:tc>
      </w:tr>
      <w:tr w:rsidR="00CB53E0">
        <w:tc>
          <w:tcPr>
            <w:tcW w:w="9323" w:type="dxa"/>
          </w:tcPr>
          <w:p w:rsidR="00CB53E0" w:rsidRDefault="00CB53E0"/>
        </w:tc>
      </w:tr>
      <w:tr w:rsidR="00CB53E0">
        <w:tc>
          <w:tcPr>
            <w:tcW w:w="9323" w:type="dxa"/>
          </w:tcPr>
          <w:p w:rsidR="00CB53E0" w:rsidRDefault="00E21164">
            <w:r>
              <w:rPr>
                <w:rFonts w:ascii="Cambria" w:eastAsia="Cambria" w:hAnsi="Cambria" w:cs="Cambria"/>
                <w:sz w:val="20"/>
                <w:szCs w:val="20"/>
              </w:rPr>
              <w:t>Preparation</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t xml:space="preserve">    2                3              4                5</w:t>
            </w:r>
          </w:p>
        </w:tc>
      </w:tr>
      <w:tr w:rsidR="00CB53E0">
        <w:tc>
          <w:tcPr>
            <w:tcW w:w="9323" w:type="dxa"/>
          </w:tcPr>
          <w:p w:rsidR="00CB53E0" w:rsidRDefault="00CB53E0"/>
        </w:tc>
      </w:tr>
      <w:tr w:rsidR="00CB53E0">
        <w:tc>
          <w:tcPr>
            <w:tcW w:w="9323" w:type="dxa"/>
          </w:tcPr>
          <w:p w:rsidR="00CB53E0" w:rsidRDefault="00E21164">
            <w:r>
              <w:rPr>
                <w:rFonts w:ascii="Cambria" w:eastAsia="Cambria" w:hAnsi="Cambria" w:cs="Cambria"/>
                <w:sz w:val="20"/>
                <w:szCs w:val="20"/>
              </w:rPr>
              <w:t>Ability to handle questions</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t xml:space="preserve">    2                3              4                5</w:t>
            </w:r>
          </w:p>
        </w:tc>
      </w:tr>
      <w:tr w:rsidR="00CB53E0">
        <w:tc>
          <w:tcPr>
            <w:tcW w:w="9323" w:type="dxa"/>
          </w:tcPr>
          <w:p w:rsidR="00CB53E0" w:rsidRDefault="00CB53E0"/>
        </w:tc>
      </w:tr>
      <w:tr w:rsidR="00CB53E0">
        <w:tc>
          <w:tcPr>
            <w:tcW w:w="9323" w:type="dxa"/>
          </w:tcPr>
          <w:p w:rsidR="00CB53E0" w:rsidRDefault="00E21164">
            <w:r>
              <w:rPr>
                <w:rFonts w:ascii="Cambria" w:eastAsia="Cambria" w:hAnsi="Cambria" w:cs="Cambria"/>
                <w:sz w:val="20"/>
                <w:szCs w:val="20"/>
              </w:rPr>
              <w:t xml:space="preserve">Presentation skills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18"/>
                <w:szCs w:val="18"/>
              </w:rPr>
              <w:t>1</w:t>
            </w:r>
            <w:r>
              <w:rPr>
                <w:rFonts w:ascii="Cambria" w:eastAsia="Cambria" w:hAnsi="Cambria" w:cs="Cambria"/>
                <w:sz w:val="18"/>
                <w:szCs w:val="18"/>
              </w:rPr>
              <w:tab/>
              <w:t xml:space="preserve">    2</w:t>
            </w:r>
            <w:r>
              <w:rPr>
                <w:rFonts w:ascii="Cambria" w:eastAsia="Cambria" w:hAnsi="Cambria" w:cs="Cambria"/>
                <w:sz w:val="18"/>
                <w:szCs w:val="18"/>
              </w:rPr>
              <w:t xml:space="preserve">                3              4                5</w:t>
            </w:r>
          </w:p>
        </w:tc>
      </w:tr>
    </w:tbl>
    <w:p w:rsidR="00CB53E0" w:rsidRDefault="00CB53E0"/>
    <w:p w:rsidR="00CB53E0" w:rsidRDefault="00E21164">
      <w:pPr>
        <w:spacing w:line="360" w:lineRule="auto"/>
      </w:pPr>
      <w:r>
        <w:rPr>
          <w:rFonts w:ascii="Cambria" w:eastAsia="Cambria" w:hAnsi="Cambria" w:cs="Cambria"/>
          <w:sz w:val="18"/>
          <w:szCs w:val="18"/>
        </w:rPr>
        <w:t>Additional Comments for Seth:</w:t>
      </w:r>
    </w:p>
    <w:p w:rsidR="00CB53E0" w:rsidRDefault="00E21164">
      <w:pPr>
        <w:spacing w:line="360" w:lineRule="auto"/>
      </w:pPr>
      <w:r>
        <w:rPr>
          <w:rFonts w:ascii="Cambria" w:eastAsia="Cambria" w:hAnsi="Cambria" w:cs="Cambria"/>
          <w:sz w:val="20"/>
          <w:szCs w:val="20"/>
        </w:rPr>
        <w:t>__________________________________________________________________________________________________________________</w:t>
      </w:r>
    </w:p>
    <w:p w:rsidR="00CB53E0" w:rsidRDefault="00E21164">
      <w:pPr>
        <w:spacing w:line="360" w:lineRule="auto"/>
      </w:pPr>
      <w:r>
        <w:rPr>
          <w:rFonts w:ascii="Cambria" w:eastAsia="Cambria" w:hAnsi="Cambria" w:cs="Cambria"/>
          <w:sz w:val="20"/>
          <w:szCs w:val="20"/>
        </w:rPr>
        <w:t>___________________________________________________________</w:t>
      </w:r>
      <w:r>
        <w:rPr>
          <w:rFonts w:ascii="Cambria" w:eastAsia="Cambria" w:hAnsi="Cambria" w:cs="Cambria"/>
          <w:sz w:val="20"/>
          <w:szCs w:val="20"/>
        </w:rPr>
        <w:t>_______________________________________________________</w:t>
      </w:r>
    </w:p>
    <w:p w:rsidR="00CB53E0" w:rsidRDefault="00E21164">
      <w:pPr>
        <w:keepNext/>
        <w:spacing w:after="120"/>
      </w:pPr>
      <w:r>
        <w:rPr>
          <w:rFonts w:ascii="Cambria" w:eastAsia="Cambria" w:hAnsi="Cambria" w:cs="Cambria"/>
          <w:b/>
          <w:sz w:val="20"/>
          <w:szCs w:val="20"/>
        </w:rPr>
        <w:t xml:space="preserve">VI. May we use your evaluation and name for testimonials? </w:t>
      </w:r>
      <w:r>
        <w:rPr>
          <w:rFonts w:ascii="Cambria" w:eastAsia="Cambria" w:hAnsi="Cambria" w:cs="Cambria"/>
          <w:sz w:val="20"/>
          <w:szCs w:val="20"/>
        </w:rPr>
        <w:t>____</w:t>
      </w:r>
      <w:r>
        <w:rPr>
          <w:rFonts w:ascii="Cambria" w:eastAsia="Cambria" w:hAnsi="Cambria" w:cs="Cambria"/>
          <w:b/>
          <w:sz w:val="20"/>
          <w:szCs w:val="20"/>
        </w:rPr>
        <w:t>Yes</w:t>
      </w:r>
      <w:r>
        <w:rPr>
          <w:rFonts w:ascii="Cambria" w:eastAsia="Cambria" w:hAnsi="Cambria" w:cs="Cambria"/>
          <w:b/>
          <w:sz w:val="20"/>
          <w:szCs w:val="20"/>
        </w:rPr>
        <w:tab/>
      </w:r>
      <w:r>
        <w:rPr>
          <w:rFonts w:ascii="Cambria" w:eastAsia="Cambria" w:hAnsi="Cambria" w:cs="Cambria"/>
          <w:sz w:val="20"/>
          <w:szCs w:val="20"/>
        </w:rPr>
        <w:t>____</w:t>
      </w:r>
      <w:r>
        <w:rPr>
          <w:rFonts w:ascii="Cambria" w:eastAsia="Cambria" w:hAnsi="Cambria" w:cs="Cambria"/>
          <w:b/>
          <w:sz w:val="20"/>
          <w:szCs w:val="20"/>
        </w:rPr>
        <w:t>No</w:t>
      </w:r>
    </w:p>
    <w:p w:rsidR="00CB53E0" w:rsidRDefault="00E21164">
      <w:pPr>
        <w:spacing w:after="120"/>
      </w:pPr>
      <w:r>
        <w:rPr>
          <w:rFonts w:ascii="Cambria" w:eastAsia="Cambria" w:hAnsi="Cambria" w:cs="Cambria"/>
          <w:i/>
          <w:sz w:val="20"/>
          <w:szCs w:val="20"/>
        </w:rPr>
        <w:t xml:space="preserve">Name </w:t>
      </w:r>
      <w:r>
        <w:rPr>
          <w:rFonts w:ascii="Cambria" w:eastAsia="Cambria" w:hAnsi="Cambria" w:cs="Cambria"/>
          <w:i/>
          <w:sz w:val="18"/>
          <w:szCs w:val="18"/>
        </w:rPr>
        <w:t xml:space="preserve">(optional): </w:t>
      </w:r>
      <w:r>
        <w:rPr>
          <w:rFonts w:ascii="Cambria" w:eastAsia="Cambria" w:hAnsi="Cambria" w:cs="Cambria"/>
          <w:i/>
          <w:sz w:val="20"/>
          <w:szCs w:val="20"/>
        </w:rPr>
        <w:t>___________________________________________________</w:t>
      </w:r>
    </w:p>
    <w:p w:rsidR="00CB53E0" w:rsidRDefault="00E21164">
      <w:r>
        <w:rPr>
          <w:rFonts w:ascii="Cambria" w:eastAsia="Cambria" w:hAnsi="Cambria" w:cs="Cambria"/>
          <w:b/>
          <w:sz w:val="20"/>
          <w:szCs w:val="20"/>
        </w:rPr>
        <w:t>VII. What other workshop topics do you need for your continuing education and where would you like to see them held?</w:t>
      </w:r>
    </w:p>
    <w:p w:rsidR="00CB53E0" w:rsidRDefault="00CB53E0"/>
    <w:p w:rsidR="00CB53E0" w:rsidRDefault="00E21164">
      <w:r>
        <w:rPr>
          <w:rFonts w:ascii="Cambria" w:eastAsia="Cambria" w:hAnsi="Cambria" w:cs="Cambria"/>
          <w:sz w:val="20"/>
          <w:szCs w:val="20"/>
        </w:rPr>
        <w:t>__________________________________________________________________________________________________________________</w:t>
      </w:r>
    </w:p>
    <w:p w:rsidR="00CB53E0" w:rsidRDefault="00CB53E0"/>
    <w:p w:rsidR="00CB53E0" w:rsidRDefault="00E21164">
      <w:r>
        <w:rPr>
          <w:rFonts w:ascii="Cambria" w:eastAsia="Cambria" w:hAnsi="Cambria" w:cs="Cambria"/>
          <w:sz w:val="20"/>
          <w:szCs w:val="20"/>
        </w:rPr>
        <w:t>__________________________________________________________________________________________________________________</w:t>
      </w:r>
    </w:p>
    <w:p w:rsidR="00CB53E0" w:rsidRDefault="00CB53E0"/>
    <w:p w:rsidR="00CB53E0" w:rsidRDefault="00E21164">
      <w:r>
        <w:rPr>
          <w:rFonts w:ascii="Cambria" w:eastAsia="Cambria" w:hAnsi="Cambria" w:cs="Cambria"/>
          <w:b/>
          <w:sz w:val="20"/>
          <w:szCs w:val="20"/>
        </w:rPr>
        <w:t xml:space="preserve">VIII. How did find out about this workshop? </w:t>
      </w:r>
      <w:r>
        <w:rPr>
          <w:rFonts w:ascii="Cambria" w:eastAsia="Cambria" w:hAnsi="Cambria" w:cs="Cambria"/>
          <w:sz w:val="20"/>
          <w:szCs w:val="20"/>
        </w:rPr>
        <w:t xml:space="preserve">Please circle all that apply: </w:t>
      </w:r>
    </w:p>
    <w:p w:rsidR="00CB53E0" w:rsidRDefault="00CB53E0"/>
    <w:p w:rsidR="00CB53E0" w:rsidRDefault="00E21164">
      <w:r>
        <w:rPr>
          <w:rFonts w:ascii="Cambria" w:eastAsia="Cambria" w:hAnsi="Cambria" w:cs="Cambria"/>
          <w:sz w:val="18"/>
          <w:szCs w:val="18"/>
        </w:rPr>
        <w:t>Archival Outlook</w:t>
      </w:r>
      <w:r>
        <w:rPr>
          <w:rFonts w:ascii="Cambria" w:eastAsia="Cambria" w:hAnsi="Cambria" w:cs="Cambria"/>
          <w:sz w:val="18"/>
          <w:szCs w:val="18"/>
        </w:rPr>
        <w:tab/>
      </w:r>
      <w:r>
        <w:rPr>
          <w:rFonts w:ascii="Cambria" w:eastAsia="Cambria" w:hAnsi="Cambria" w:cs="Cambria"/>
          <w:sz w:val="18"/>
          <w:szCs w:val="18"/>
        </w:rPr>
        <w:tab/>
      </w:r>
      <w:proofErr w:type="gramStart"/>
      <w:r>
        <w:rPr>
          <w:rFonts w:ascii="Cambria" w:eastAsia="Cambria" w:hAnsi="Cambria" w:cs="Cambria"/>
          <w:sz w:val="18"/>
          <w:szCs w:val="18"/>
        </w:rPr>
        <w:t>In</w:t>
      </w:r>
      <w:proofErr w:type="gramEnd"/>
      <w:r>
        <w:rPr>
          <w:rFonts w:ascii="Cambria" w:eastAsia="Cambria" w:hAnsi="Cambria" w:cs="Cambria"/>
          <w:sz w:val="18"/>
          <w:szCs w:val="18"/>
        </w:rPr>
        <w:t xml:space="preserve"> the Loop</w:t>
      </w:r>
      <w:r>
        <w:rPr>
          <w:rFonts w:ascii="Cambria" w:eastAsia="Cambria" w:hAnsi="Cambria" w:cs="Cambria"/>
          <w:sz w:val="18"/>
          <w:szCs w:val="18"/>
        </w:rPr>
        <w:tab/>
      </w:r>
      <w:r>
        <w:rPr>
          <w:rFonts w:ascii="Cambria" w:eastAsia="Cambria" w:hAnsi="Cambria" w:cs="Cambria"/>
          <w:sz w:val="18"/>
          <w:szCs w:val="18"/>
        </w:rPr>
        <w:tab/>
        <w:t>Email Blast</w:t>
      </w:r>
      <w:r>
        <w:rPr>
          <w:rFonts w:ascii="Cambria" w:eastAsia="Cambria" w:hAnsi="Cambria" w:cs="Cambria"/>
          <w:sz w:val="18"/>
          <w:szCs w:val="18"/>
        </w:rPr>
        <w:tab/>
      </w:r>
      <w:r>
        <w:rPr>
          <w:rFonts w:ascii="Cambria" w:eastAsia="Cambria" w:hAnsi="Cambria" w:cs="Cambria"/>
          <w:sz w:val="18"/>
          <w:szCs w:val="18"/>
        </w:rPr>
        <w:tab/>
        <w:t>Listserv Announcemen</w:t>
      </w:r>
      <w:r>
        <w:rPr>
          <w:rFonts w:ascii="Cambria" w:eastAsia="Cambria" w:hAnsi="Cambria" w:cs="Cambria"/>
          <w:sz w:val="18"/>
          <w:szCs w:val="18"/>
        </w:rPr>
        <w:t>t</w:t>
      </w:r>
    </w:p>
    <w:p w:rsidR="00CB53E0" w:rsidRDefault="00CB53E0"/>
    <w:p w:rsidR="00CB53E0" w:rsidRDefault="00E21164">
      <w:r>
        <w:rPr>
          <w:rFonts w:ascii="Cambria" w:eastAsia="Cambria" w:hAnsi="Cambria" w:cs="Cambria"/>
          <w:sz w:val="18"/>
          <w:szCs w:val="18"/>
        </w:rPr>
        <w:t xml:space="preserve">Twitter </w:t>
      </w:r>
      <w:r>
        <w:rPr>
          <w:rFonts w:ascii="Cambria" w:eastAsia="Cambria" w:hAnsi="Cambria" w:cs="Cambria"/>
          <w:sz w:val="18"/>
          <w:szCs w:val="18"/>
        </w:rPr>
        <w:tab/>
      </w:r>
      <w:r>
        <w:rPr>
          <w:rFonts w:ascii="Cambria" w:eastAsia="Cambria" w:hAnsi="Cambria" w:cs="Cambria"/>
          <w:sz w:val="18"/>
          <w:szCs w:val="18"/>
        </w:rPr>
        <w:tab/>
        <w:t xml:space="preserve">Facebook </w:t>
      </w:r>
      <w:r>
        <w:rPr>
          <w:rFonts w:ascii="Cambria" w:eastAsia="Cambria" w:hAnsi="Cambria" w:cs="Cambria"/>
          <w:sz w:val="18"/>
          <w:szCs w:val="18"/>
        </w:rPr>
        <w:tab/>
        <w:t xml:space="preserve">SAA Website </w:t>
      </w:r>
      <w:r>
        <w:rPr>
          <w:rFonts w:ascii="Cambria" w:eastAsia="Cambria" w:hAnsi="Cambria" w:cs="Cambria"/>
          <w:sz w:val="18"/>
          <w:szCs w:val="18"/>
        </w:rPr>
        <w:tab/>
        <w:t xml:space="preserve">    Postcard  </w:t>
      </w:r>
      <w:r>
        <w:rPr>
          <w:rFonts w:ascii="Cambria" w:eastAsia="Cambria" w:hAnsi="Cambria" w:cs="Cambria"/>
          <w:sz w:val="18"/>
          <w:szCs w:val="18"/>
        </w:rPr>
        <w:tab/>
        <w:t xml:space="preserve">   Other (</w:t>
      </w:r>
      <w:r>
        <w:rPr>
          <w:rFonts w:ascii="Cambria" w:eastAsia="Cambria" w:hAnsi="Cambria" w:cs="Cambria"/>
          <w:i/>
          <w:sz w:val="18"/>
          <w:szCs w:val="18"/>
        </w:rPr>
        <w:t>Please Specify</w:t>
      </w:r>
      <w:proofErr w:type="gramStart"/>
      <w:r>
        <w:rPr>
          <w:rFonts w:ascii="Cambria" w:eastAsia="Cambria" w:hAnsi="Cambria" w:cs="Cambria"/>
          <w:sz w:val="18"/>
          <w:szCs w:val="18"/>
        </w:rPr>
        <w:t>)_</w:t>
      </w:r>
      <w:proofErr w:type="gramEnd"/>
      <w:r>
        <w:rPr>
          <w:rFonts w:ascii="Cambria" w:eastAsia="Cambria" w:hAnsi="Cambria" w:cs="Cambria"/>
          <w:sz w:val="18"/>
          <w:szCs w:val="18"/>
        </w:rPr>
        <w:t>________________</w:t>
      </w:r>
    </w:p>
    <w:p w:rsidR="00CB53E0" w:rsidRDefault="00CB53E0"/>
    <w:p w:rsidR="00CB53E0" w:rsidRDefault="00E21164">
      <w:pPr>
        <w:jc w:val="both"/>
      </w:pPr>
      <w:r>
        <w:rPr>
          <w:rFonts w:ascii="Cambria" w:eastAsia="Cambria" w:hAnsi="Cambria" w:cs="Cambria"/>
          <w:sz w:val="18"/>
          <w:szCs w:val="18"/>
        </w:rPr>
        <w:t>Thank you in advance for completing this evaluation.  The Committee on Education of the Society of American Archivists appreciates your assistance to help it mai</w:t>
      </w:r>
      <w:r>
        <w:rPr>
          <w:rFonts w:ascii="Cambria" w:eastAsia="Cambria" w:hAnsi="Cambria" w:cs="Cambria"/>
          <w:sz w:val="18"/>
          <w:szCs w:val="18"/>
        </w:rPr>
        <w:t xml:space="preserve">ntain the highest standard of archival continuing education.  Please complete this form and return it to the instructor at the conclusion of the course, or return it via mail or fax to:                            </w:t>
      </w:r>
    </w:p>
    <w:p w:rsidR="00CB53E0" w:rsidRDefault="00E21164">
      <w:pPr>
        <w:jc w:val="center"/>
      </w:pPr>
      <w:r>
        <w:rPr>
          <w:rFonts w:ascii="Cambria" w:eastAsia="Cambria" w:hAnsi="Cambria" w:cs="Cambria"/>
          <w:b/>
          <w:sz w:val="18"/>
          <w:szCs w:val="18"/>
        </w:rPr>
        <w:t>Society of American Archivists; 17 North S</w:t>
      </w:r>
      <w:r>
        <w:rPr>
          <w:rFonts w:ascii="Cambria" w:eastAsia="Cambria" w:hAnsi="Cambria" w:cs="Cambria"/>
          <w:b/>
          <w:sz w:val="18"/>
          <w:szCs w:val="18"/>
        </w:rPr>
        <w:t xml:space="preserve">tate Street, Suite #1425; Chicago, IL 60602; </w:t>
      </w:r>
    </w:p>
    <w:p w:rsidR="00CB53E0" w:rsidRDefault="00E21164">
      <w:pPr>
        <w:jc w:val="center"/>
      </w:pPr>
      <w:r>
        <w:rPr>
          <w:rFonts w:ascii="Cambria" w:eastAsia="Cambria" w:hAnsi="Cambria" w:cs="Cambria"/>
          <w:b/>
          <w:sz w:val="18"/>
          <w:szCs w:val="18"/>
        </w:rPr>
        <w:t>Voice 312/606.0722—Fax 312/606.0728</w:t>
      </w:r>
    </w:p>
    <w:p w:rsidR="00211F12" w:rsidRDefault="00211F12">
      <w:pPr>
        <w:widowControl w:val="0"/>
        <w:spacing w:line="276" w:lineRule="auto"/>
        <w:sectPr w:rsidR="00211F12">
          <w:headerReference w:type="default" r:id="rId13"/>
          <w:pgSz w:w="12240" w:h="15840"/>
          <w:pgMar w:top="1440" w:right="1440" w:bottom="1440" w:left="1440" w:header="720" w:footer="720" w:gutter="0"/>
          <w:pgNumType w:start="1"/>
          <w:cols w:space="720"/>
        </w:sectPr>
      </w:pPr>
    </w:p>
    <w:p w:rsidR="00CB53E0" w:rsidRDefault="00CB53E0">
      <w:pPr>
        <w:widowControl w:val="0"/>
        <w:spacing w:line="276" w:lineRule="auto"/>
      </w:pPr>
    </w:p>
    <w:p w:rsidR="00CB53E0" w:rsidRDefault="00E21164">
      <w:pPr>
        <w:spacing w:after="240"/>
      </w:pPr>
      <w:r>
        <w:rPr>
          <w:b/>
          <w:sz w:val="32"/>
          <w:szCs w:val="32"/>
        </w:rPr>
        <w:t>Appendix 6:  Guidelines for an Ideal Class and Curriculum Proposal</w:t>
      </w:r>
    </w:p>
    <w:p w:rsidR="00CB53E0" w:rsidRDefault="00E21164">
      <w:pPr>
        <w:spacing w:after="240"/>
      </w:pPr>
      <w:r>
        <w:t>As an archival continuing education provider, you have decided on the topic for your class or program ba</w:t>
      </w:r>
      <w:r>
        <w:t xml:space="preserve">sed on research and feedback from various sources that point to the need for a presentation on this topic. </w:t>
      </w:r>
    </w:p>
    <w:p w:rsidR="00CB53E0" w:rsidRDefault="00E21164">
      <w:pPr>
        <w:spacing w:after="240"/>
      </w:pPr>
      <w:r>
        <w:t xml:space="preserve">List the following for the single class or multi-class curriculum: </w:t>
      </w:r>
    </w:p>
    <w:p w:rsidR="00CB53E0" w:rsidRDefault="00E21164">
      <w:pPr>
        <w:numPr>
          <w:ilvl w:val="0"/>
          <w:numId w:val="15"/>
        </w:numPr>
        <w:spacing w:after="120"/>
        <w:ind w:hanging="360"/>
      </w:pPr>
      <w:r>
        <w:t>Goals. What do you intend to accomplish? Create an overview. Each goal/purpose s</w:t>
      </w:r>
      <w:r>
        <w:t xml:space="preserve">hould be stated relative to the rationale behind the content. </w:t>
      </w:r>
    </w:p>
    <w:p w:rsidR="00CB53E0" w:rsidRDefault="00E21164">
      <w:pPr>
        <w:numPr>
          <w:ilvl w:val="0"/>
          <w:numId w:val="15"/>
        </w:numPr>
        <w:spacing w:after="120"/>
        <w:ind w:hanging="360"/>
      </w:pPr>
      <w:r>
        <w:t>Learning objectives. Use verbs that convey measurable behavioral objectives (e.g., registrants will be able to define [knowledge], classify [comprehension], calculate [application], appraise [a</w:t>
      </w:r>
      <w:r>
        <w:t xml:space="preserve">nalysis], assemble [synthesis], or determine [evaluation]). Each learning objective may be broken into subcategories that detail what will be discussed and what activities will take place. </w:t>
      </w:r>
    </w:p>
    <w:p w:rsidR="00CB53E0" w:rsidRDefault="00E21164">
      <w:pPr>
        <w:numPr>
          <w:ilvl w:val="0"/>
          <w:numId w:val="15"/>
        </w:numPr>
        <w:spacing w:after="120"/>
        <w:ind w:hanging="360"/>
      </w:pPr>
      <w:r>
        <w:t>Outcomes. These should clearly identify how learning can be applie</w:t>
      </w:r>
      <w:r>
        <w:t xml:space="preserve">d in the workplace. </w:t>
      </w:r>
    </w:p>
    <w:p w:rsidR="00CB53E0" w:rsidRDefault="00E21164">
      <w:pPr>
        <w:numPr>
          <w:ilvl w:val="0"/>
          <w:numId w:val="15"/>
        </w:numPr>
        <w:spacing w:after="120"/>
        <w:ind w:hanging="360"/>
      </w:pPr>
      <w:r>
        <w:t xml:space="preserve">Intended audience (introductory, intermediate, advanced, seasoned, etc.). </w:t>
      </w:r>
    </w:p>
    <w:p w:rsidR="00CB53E0" w:rsidRDefault="00E21164">
      <w:pPr>
        <w:numPr>
          <w:ilvl w:val="0"/>
          <w:numId w:val="15"/>
        </w:numPr>
        <w:spacing w:after="120"/>
        <w:ind w:hanging="360"/>
      </w:pPr>
      <w:r>
        <w:t xml:space="preserve">Secondary audience who would benefit from attending, if appropriate. </w:t>
      </w:r>
    </w:p>
    <w:p w:rsidR="00CB53E0" w:rsidRDefault="00E21164">
      <w:pPr>
        <w:numPr>
          <w:ilvl w:val="0"/>
          <w:numId w:val="15"/>
        </w:numPr>
        <w:spacing w:after="120"/>
        <w:ind w:hanging="360"/>
      </w:pPr>
      <w:r>
        <w:t xml:space="preserve">Required or recommended prerequisite knowledge, skills, or behaviors. </w:t>
      </w:r>
    </w:p>
    <w:p w:rsidR="00CB53E0" w:rsidRDefault="00E21164">
      <w:pPr>
        <w:numPr>
          <w:ilvl w:val="0"/>
          <w:numId w:val="15"/>
        </w:numPr>
        <w:spacing w:after="120"/>
        <w:ind w:hanging="360"/>
      </w:pPr>
      <w:r>
        <w:t xml:space="preserve">Resources you will </w:t>
      </w:r>
      <w:r>
        <w:t>use (e.g.: texts, websites, programs, learning modules)</w:t>
      </w:r>
    </w:p>
    <w:p w:rsidR="00CB53E0" w:rsidRDefault="00E21164">
      <w:pPr>
        <w:numPr>
          <w:ilvl w:val="0"/>
          <w:numId w:val="15"/>
        </w:numPr>
        <w:spacing w:after="120"/>
        <w:ind w:hanging="360"/>
      </w:pPr>
      <w:r>
        <w:t xml:space="preserve">Schedule/outline. </w:t>
      </w:r>
    </w:p>
    <w:p w:rsidR="00CB53E0" w:rsidRDefault="00E21164">
      <w:pPr>
        <w:numPr>
          <w:ilvl w:val="0"/>
          <w:numId w:val="15"/>
        </w:numPr>
        <w:spacing w:after="120"/>
        <w:ind w:hanging="360"/>
      </w:pPr>
      <w:r>
        <w:t xml:space="preserve">Which techniques – lecture, discussion, simulation, or case study – do you intend to use for each component? </w:t>
      </w:r>
    </w:p>
    <w:p w:rsidR="00CB53E0" w:rsidRDefault="00E21164">
      <w:pPr>
        <w:numPr>
          <w:ilvl w:val="0"/>
          <w:numId w:val="15"/>
        </w:numPr>
        <w:spacing w:after="120"/>
        <w:ind w:hanging="360"/>
      </w:pPr>
      <w:r>
        <w:t>Describe the exercises and case studies that you plan to incorporate. For case studies, it is best to use cases based on personal experience wherever possible. Personal experience is much more compelling in an instructional situation than are generic examp</w:t>
      </w:r>
      <w:r>
        <w:t xml:space="preserve">les, and instructors are strongly encouraged to bring their own case studies to the classroom. </w:t>
      </w:r>
    </w:p>
    <w:p w:rsidR="00CB53E0" w:rsidRDefault="00E21164">
      <w:pPr>
        <w:numPr>
          <w:ilvl w:val="0"/>
          <w:numId w:val="15"/>
        </w:numPr>
        <w:spacing w:after="120"/>
        <w:ind w:hanging="360"/>
      </w:pPr>
      <w:r>
        <w:t xml:space="preserve">Pre-class readings you may want to assign. </w:t>
      </w:r>
    </w:p>
    <w:p w:rsidR="00CB53E0" w:rsidRDefault="00E21164">
      <w:pPr>
        <w:numPr>
          <w:ilvl w:val="0"/>
          <w:numId w:val="15"/>
        </w:numPr>
        <w:spacing w:after="120"/>
        <w:ind w:hanging="360"/>
      </w:pPr>
      <w:r>
        <w:t>Audiovisual requirements to present what you have in mind.</w:t>
      </w:r>
    </w:p>
    <w:sectPr w:rsidR="00CB53E0">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164" w:rsidRDefault="00E21164">
      <w:r>
        <w:separator/>
      </w:r>
    </w:p>
  </w:endnote>
  <w:endnote w:type="continuationSeparator" w:id="0">
    <w:p w:rsidR="00E21164" w:rsidRDefault="00E2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164" w:rsidRDefault="00E21164">
      <w:r>
        <w:separator/>
      </w:r>
    </w:p>
  </w:footnote>
  <w:footnote w:type="continuationSeparator" w:id="0">
    <w:p w:rsidR="00E21164" w:rsidRDefault="00E21164">
      <w:r>
        <w:continuationSeparator/>
      </w:r>
    </w:p>
  </w:footnote>
  <w:footnote w:id="1">
    <w:p w:rsidR="00CB53E0" w:rsidRDefault="00E21164">
      <w:r>
        <w:rPr>
          <w:vertAlign w:val="superscript"/>
        </w:rPr>
        <w:footnoteRef/>
      </w:r>
      <w:r>
        <w:rPr>
          <w:sz w:val="20"/>
          <w:szCs w:val="20"/>
        </w:rPr>
        <w:t xml:space="preserve"> ACE "classes" is a generic term that includes workshops, seminars, clinics, institutes, short courses, e-learning, recorded progra</w:t>
      </w:r>
      <w:r>
        <w:rPr>
          <w:sz w:val="20"/>
          <w:szCs w:val="20"/>
        </w:rPr>
        <w:t>ms, and webinars.  See Appendix List of Effective Delivery Formats.</w:t>
      </w:r>
    </w:p>
  </w:footnote>
  <w:footnote w:id="2">
    <w:p w:rsidR="00CB53E0" w:rsidRDefault="00E21164">
      <w:r>
        <w:rPr>
          <w:vertAlign w:val="superscript"/>
        </w:rPr>
        <w:footnoteRef/>
      </w:r>
      <w:r>
        <w:rPr>
          <w:sz w:val="20"/>
          <w:szCs w:val="20"/>
        </w:rPr>
        <w:t xml:space="preserve"> See Appendix </w:t>
      </w:r>
      <w:r>
        <w:rPr>
          <w:sz w:val="20"/>
          <w:szCs w:val="20"/>
        </w:rPr>
        <w:t>4</w:t>
      </w:r>
      <w:r>
        <w:rPr>
          <w:sz w:val="20"/>
          <w:szCs w:val="20"/>
        </w:rPr>
        <w:t>:  List of Effective Delivery Formats</w:t>
      </w:r>
    </w:p>
  </w:footnote>
  <w:footnote w:id="3">
    <w:p w:rsidR="00CB53E0" w:rsidRDefault="00E21164">
      <w:r>
        <w:rPr>
          <w:vertAlign w:val="superscript"/>
        </w:rPr>
        <w:footnoteRef/>
      </w:r>
      <w:r>
        <w:rPr>
          <w:sz w:val="20"/>
          <w:szCs w:val="20"/>
        </w:rPr>
        <w:t xml:space="preserve"> See Appendix </w:t>
      </w:r>
      <w:r>
        <w:rPr>
          <w:sz w:val="20"/>
          <w:szCs w:val="20"/>
        </w:rPr>
        <w:t>6</w:t>
      </w:r>
      <w:r>
        <w:rPr>
          <w:sz w:val="20"/>
          <w:szCs w:val="20"/>
        </w:rPr>
        <w:t>:  Curriculum Development</w:t>
      </w:r>
    </w:p>
  </w:footnote>
  <w:footnote w:id="4">
    <w:p w:rsidR="00CB53E0" w:rsidRDefault="00E21164">
      <w:r>
        <w:rPr>
          <w:vertAlign w:val="superscript"/>
        </w:rPr>
        <w:footnoteRef/>
      </w:r>
      <w:r>
        <w:rPr>
          <w:sz w:val="20"/>
          <w:szCs w:val="20"/>
        </w:rPr>
        <w:t xml:space="preserve"> See Appendix </w:t>
      </w:r>
      <w:r>
        <w:rPr>
          <w:sz w:val="20"/>
          <w:szCs w:val="20"/>
        </w:rPr>
        <w:t>2</w:t>
      </w:r>
      <w:r>
        <w:rPr>
          <w:sz w:val="20"/>
          <w:szCs w:val="20"/>
        </w:rPr>
        <w:t xml:space="preserve">:  Continuing Education Needs Identified by A*CENSUS (2004) and </w:t>
      </w:r>
      <w:proofErr w:type="spellStart"/>
      <w:r>
        <w:rPr>
          <w:sz w:val="20"/>
          <w:szCs w:val="20"/>
        </w:rPr>
        <w:t>ACRL</w:t>
      </w:r>
      <w:proofErr w:type="spellEnd"/>
      <w:r>
        <w:rPr>
          <w:sz w:val="20"/>
          <w:szCs w:val="20"/>
        </w:rPr>
        <w:t xml:space="preserve"> (2005) </w:t>
      </w:r>
      <w:r>
        <w:rPr>
          <w:sz w:val="20"/>
          <w:szCs w:val="20"/>
        </w:rPr>
        <w:t>Surveys</w:t>
      </w:r>
    </w:p>
  </w:footnote>
  <w:footnote w:id="5">
    <w:p w:rsidR="00CB53E0" w:rsidRDefault="00E21164">
      <w:r>
        <w:rPr>
          <w:vertAlign w:val="superscript"/>
        </w:rPr>
        <w:footnoteRef/>
      </w:r>
      <w:r>
        <w:rPr>
          <w:sz w:val="20"/>
          <w:szCs w:val="20"/>
        </w:rPr>
        <w:t xml:space="preserve"> See Appendix 3:  Recommended Instructor Qualifications</w:t>
      </w:r>
    </w:p>
  </w:footnote>
  <w:footnote w:id="6">
    <w:p w:rsidR="00CB53E0" w:rsidRDefault="00E21164">
      <w:r>
        <w:rPr>
          <w:vertAlign w:val="superscript"/>
        </w:rPr>
        <w:footnoteRef/>
      </w:r>
      <w:r>
        <w:rPr>
          <w:sz w:val="20"/>
          <w:szCs w:val="20"/>
        </w:rPr>
        <w:t xml:space="preserve"> See Appendix </w:t>
      </w:r>
      <w:r>
        <w:rPr>
          <w:sz w:val="20"/>
          <w:szCs w:val="20"/>
        </w:rPr>
        <w:t>5</w:t>
      </w:r>
      <w:r>
        <w:rPr>
          <w:sz w:val="20"/>
          <w:szCs w:val="20"/>
        </w:rPr>
        <w:t>:  Guidelines for Evaluating Continuing Education Programs and sample evaluation forms.</w:t>
      </w:r>
    </w:p>
  </w:footnote>
  <w:footnote w:id="7">
    <w:p w:rsidR="00CB53E0" w:rsidRDefault="00E21164">
      <w:pPr>
        <w:spacing w:after="240"/>
      </w:pPr>
      <w:r>
        <w:rPr>
          <w:vertAlign w:val="superscript"/>
        </w:rPr>
        <w:footnoteRef/>
      </w:r>
      <w:r>
        <w:t xml:space="preserve"> </w:t>
      </w:r>
      <w:r>
        <w:rPr>
          <w:sz w:val="20"/>
          <w:szCs w:val="20"/>
        </w:rPr>
        <w:t xml:space="preserve">Thomas J. </w:t>
      </w:r>
      <w:proofErr w:type="spellStart"/>
      <w:r>
        <w:rPr>
          <w:sz w:val="20"/>
          <w:szCs w:val="20"/>
        </w:rPr>
        <w:t>Sork</w:t>
      </w:r>
      <w:proofErr w:type="spellEnd"/>
      <w:r>
        <w:rPr>
          <w:sz w:val="20"/>
          <w:szCs w:val="20"/>
        </w:rPr>
        <w:t xml:space="preserve">, “The Workshop as a Unique Instructional Format,” in </w:t>
      </w:r>
      <w:r>
        <w:rPr>
          <w:i/>
          <w:sz w:val="20"/>
          <w:szCs w:val="20"/>
        </w:rPr>
        <w:t>Designing and Imp</w:t>
      </w:r>
      <w:r>
        <w:rPr>
          <w:i/>
          <w:sz w:val="20"/>
          <w:szCs w:val="20"/>
        </w:rPr>
        <w:t>lementing Effective Workshops</w:t>
      </w:r>
      <w:r>
        <w:rPr>
          <w:sz w:val="20"/>
          <w:szCs w:val="20"/>
        </w:rPr>
        <w:t xml:space="preserve">, ed. Thomas J. </w:t>
      </w:r>
      <w:proofErr w:type="spellStart"/>
      <w:r>
        <w:rPr>
          <w:sz w:val="20"/>
          <w:szCs w:val="20"/>
        </w:rPr>
        <w:t>Sork</w:t>
      </w:r>
      <w:proofErr w:type="spellEnd"/>
      <w:r>
        <w:rPr>
          <w:sz w:val="20"/>
          <w:szCs w:val="20"/>
        </w:rPr>
        <w:t xml:space="preserve"> (San Francisco:  </w:t>
      </w:r>
      <w:proofErr w:type="spellStart"/>
      <w:r>
        <w:rPr>
          <w:sz w:val="20"/>
          <w:szCs w:val="20"/>
        </w:rPr>
        <w:t>Jossey</w:t>
      </w:r>
      <w:proofErr w:type="spellEnd"/>
      <w:r>
        <w:rPr>
          <w:sz w:val="20"/>
          <w:szCs w:val="20"/>
        </w:rPr>
        <w:t xml:space="preserve">-Bass, 1984), 3-10. </w:t>
      </w:r>
    </w:p>
    <w:p w:rsidR="00CB53E0" w:rsidRDefault="00CB53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E0" w:rsidRDefault="00E21164">
    <w:pPr>
      <w:spacing w:before="720"/>
      <w:jc w:val="right"/>
    </w:pPr>
    <w:r>
      <w:rPr>
        <w:sz w:val="20"/>
        <w:szCs w:val="20"/>
      </w:rPr>
      <w:t xml:space="preserve">Archival Continuing Education Guidelines </w:t>
    </w:r>
  </w:p>
  <w:p w:rsidR="00211F12" w:rsidRDefault="00211F1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12" w:rsidRDefault="00211F12">
    <w:pPr>
      <w:spacing w:before="720"/>
      <w:jc w:val="right"/>
    </w:pPr>
    <w:r>
      <w:rPr>
        <w:sz w:val="20"/>
        <w:szCs w:val="20"/>
      </w:rPr>
      <w:t xml:space="preserve">Archival Continuing Education Guidelines </w:t>
    </w:r>
  </w:p>
  <w:p w:rsidR="00211F12" w:rsidRDefault="00211F12">
    <w:pPr>
      <w:jc w:val="right"/>
    </w:pPr>
    <w:r>
      <w:rPr>
        <w:sz w:val="20"/>
        <w:szCs w:val="20"/>
      </w:rPr>
      <w:t>Appendix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12" w:rsidRDefault="00211F12">
    <w:pPr>
      <w:spacing w:before="720"/>
      <w:jc w:val="right"/>
    </w:pPr>
    <w:r>
      <w:rPr>
        <w:sz w:val="20"/>
        <w:szCs w:val="20"/>
      </w:rPr>
      <w:t xml:space="preserve">Archival Continuing Education Guidelines </w:t>
    </w:r>
  </w:p>
  <w:p w:rsidR="00211F12" w:rsidRDefault="00211F12">
    <w:pPr>
      <w:jc w:val="right"/>
    </w:pPr>
    <w:r>
      <w:rPr>
        <w:sz w:val="20"/>
        <w:szCs w:val="20"/>
      </w:rPr>
      <w:t>Appendix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12" w:rsidRDefault="00211F12">
    <w:pPr>
      <w:spacing w:before="720"/>
      <w:jc w:val="right"/>
    </w:pPr>
    <w:r>
      <w:rPr>
        <w:sz w:val="20"/>
        <w:szCs w:val="20"/>
      </w:rPr>
      <w:t xml:space="preserve">Archival Continuing Education Guidelines </w:t>
    </w:r>
  </w:p>
  <w:p w:rsidR="00211F12" w:rsidRDefault="00211F12">
    <w:pPr>
      <w:jc w:val="right"/>
    </w:pPr>
    <w:r>
      <w:rPr>
        <w:sz w:val="20"/>
        <w:szCs w:val="20"/>
      </w:rPr>
      <w:t>Appendix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12" w:rsidRDefault="00211F12">
    <w:pPr>
      <w:spacing w:before="720"/>
      <w:jc w:val="right"/>
    </w:pPr>
    <w:r>
      <w:rPr>
        <w:sz w:val="20"/>
        <w:szCs w:val="20"/>
      </w:rPr>
      <w:t xml:space="preserve">Archival Continuing Education Guidelines </w:t>
    </w:r>
  </w:p>
  <w:p w:rsidR="00211F12" w:rsidRDefault="00211F12">
    <w:pPr>
      <w:jc w:val="right"/>
    </w:pPr>
    <w:r>
      <w:rPr>
        <w:sz w:val="20"/>
        <w:szCs w:val="20"/>
      </w:rPr>
      <w:t>Appendix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12" w:rsidRDefault="00211F12">
    <w:pPr>
      <w:spacing w:before="720"/>
      <w:jc w:val="right"/>
    </w:pPr>
    <w:r>
      <w:rPr>
        <w:sz w:val="20"/>
        <w:szCs w:val="20"/>
      </w:rPr>
      <w:t xml:space="preserve">Archival Continuing Education Guidelines </w:t>
    </w:r>
  </w:p>
  <w:p w:rsidR="00211F12" w:rsidRDefault="00211F12">
    <w:pPr>
      <w:jc w:val="right"/>
    </w:pPr>
    <w:r>
      <w:rPr>
        <w:sz w:val="20"/>
        <w:szCs w:val="20"/>
      </w:rPr>
      <w:t>Appendix 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12" w:rsidRDefault="00211F12">
    <w:pPr>
      <w:spacing w:before="720"/>
      <w:jc w:val="right"/>
    </w:pPr>
    <w:r>
      <w:rPr>
        <w:sz w:val="20"/>
        <w:szCs w:val="20"/>
      </w:rPr>
      <w:t xml:space="preserve">Archival Continuing Education Guidelines </w:t>
    </w:r>
  </w:p>
  <w:p w:rsidR="00211F12" w:rsidRDefault="00211F12">
    <w:pPr>
      <w:jc w:val="right"/>
    </w:pPr>
    <w:r>
      <w:rPr>
        <w:sz w:val="20"/>
        <w:szCs w:val="20"/>
      </w:rPr>
      <w:t xml:space="preserve">Appendix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A2D"/>
    <w:multiLevelType w:val="multilevel"/>
    <w:tmpl w:val="39ACEF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ABA3E17"/>
    <w:multiLevelType w:val="multilevel"/>
    <w:tmpl w:val="6F741D2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8B21E2D"/>
    <w:multiLevelType w:val="multilevel"/>
    <w:tmpl w:val="C92630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D8069B4"/>
    <w:multiLevelType w:val="multilevel"/>
    <w:tmpl w:val="C1E2AC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2C802B5"/>
    <w:multiLevelType w:val="multilevel"/>
    <w:tmpl w:val="01E2B3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5EB549D"/>
    <w:multiLevelType w:val="multilevel"/>
    <w:tmpl w:val="C2CA6F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2CB85187"/>
    <w:multiLevelType w:val="multilevel"/>
    <w:tmpl w:val="BBDC96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957026C"/>
    <w:multiLevelType w:val="multilevel"/>
    <w:tmpl w:val="1D361C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6C11913"/>
    <w:multiLevelType w:val="multilevel"/>
    <w:tmpl w:val="20F6F2B0"/>
    <w:lvl w:ilvl="0">
      <w:start w:val="5"/>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A9E55BE"/>
    <w:multiLevelType w:val="multilevel"/>
    <w:tmpl w:val="237A64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E667091"/>
    <w:multiLevelType w:val="multilevel"/>
    <w:tmpl w:val="8F4268D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15:restartNumberingAfterBreak="0">
    <w:nsid w:val="520C6E16"/>
    <w:multiLevelType w:val="multilevel"/>
    <w:tmpl w:val="0A8E52E2"/>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2" w15:restartNumberingAfterBreak="0">
    <w:nsid w:val="544E718B"/>
    <w:multiLevelType w:val="multilevel"/>
    <w:tmpl w:val="493282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B371B22"/>
    <w:multiLevelType w:val="multilevel"/>
    <w:tmpl w:val="218A37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61A843F4"/>
    <w:multiLevelType w:val="multilevel"/>
    <w:tmpl w:val="77800B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6A434F4F"/>
    <w:multiLevelType w:val="multilevel"/>
    <w:tmpl w:val="C1BE1F80"/>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6" w15:restartNumberingAfterBreak="0">
    <w:nsid w:val="74856057"/>
    <w:multiLevelType w:val="multilevel"/>
    <w:tmpl w:val="67AA5C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5"/>
  </w:num>
  <w:num w:numId="2">
    <w:abstractNumId w:val="13"/>
  </w:num>
  <w:num w:numId="3">
    <w:abstractNumId w:val="6"/>
  </w:num>
  <w:num w:numId="4">
    <w:abstractNumId w:val="8"/>
  </w:num>
  <w:num w:numId="5">
    <w:abstractNumId w:val="1"/>
  </w:num>
  <w:num w:numId="6">
    <w:abstractNumId w:val="9"/>
  </w:num>
  <w:num w:numId="7">
    <w:abstractNumId w:val="0"/>
  </w:num>
  <w:num w:numId="8">
    <w:abstractNumId w:val="3"/>
  </w:num>
  <w:num w:numId="9">
    <w:abstractNumId w:val="7"/>
  </w:num>
  <w:num w:numId="10">
    <w:abstractNumId w:val="16"/>
  </w:num>
  <w:num w:numId="11">
    <w:abstractNumId w:val="10"/>
  </w:num>
  <w:num w:numId="12">
    <w:abstractNumId w:val="5"/>
  </w:num>
  <w:num w:numId="13">
    <w:abstractNumId w:val="12"/>
  </w:num>
  <w:num w:numId="14">
    <w:abstractNumId w:val="4"/>
  </w:num>
  <w:num w:numId="15">
    <w:abstractNumId w:val="1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B53E0"/>
    <w:rsid w:val="00211F12"/>
    <w:rsid w:val="00CB53E0"/>
    <w:rsid w:val="00E2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83862-395F-442B-A3AB-79E14FC1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00" w:after="100"/>
      <w:outlineLvl w:val="0"/>
    </w:pPr>
    <w:rPr>
      <w:b/>
      <w:sz w:val="48"/>
      <w:szCs w:val="48"/>
    </w:rPr>
  </w:style>
  <w:style w:type="paragraph" w:styleId="Heading2">
    <w:name w:val="heading 2"/>
    <w:basedOn w:val="Normal"/>
    <w:next w:val="Normal"/>
    <w:pPr>
      <w:keepNext/>
      <w:keepLines/>
      <w:spacing w:before="100" w:after="100"/>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11F12"/>
    <w:pPr>
      <w:tabs>
        <w:tab w:val="center" w:pos="4680"/>
        <w:tab w:val="right" w:pos="9360"/>
      </w:tabs>
    </w:pPr>
  </w:style>
  <w:style w:type="character" w:customStyle="1" w:styleId="HeaderChar">
    <w:name w:val="Header Char"/>
    <w:basedOn w:val="DefaultParagraphFont"/>
    <w:link w:val="Header"/>
    <w:uiPriority w:val="99"/>
    <w:rsid w:val="00211F12"/>
  </w:style>
  <w:style w:type="paragraph" w:styleId="Footer">
    <w:name w:val="footer"/>
    <w:basedOn w:val="Normal"/>
    <w:link w:val="FooterChar"/>
    <w:uiPriority w:val="99"/>
    <w:unhideWhenUsed/>
    <w:rsid w:val="00211F12"/>
    <w:pPr>
      <w:tabs>
        <w:tab w:val="center" w:pos="4680"/>
        <w:tab w:val="right" w:pos="9360"/>
      </w:tabs>
    </w:pPr>
  </w:style>
  <w:style w:type="character" w:customStyle="1" w:styleId="FooterChar">
    <w:name w:val="Footer Char"/>
    <w:basedOn w:val="DefaultParagraphFont"/>
    <w:link w:val="Footer"/>
    <w:uiPriority w:val="99"/>
    <w:rsid w:val="00211F12"/>
  </w:style>
  <w:style w:type="paragraph" w:styleId="NoSpacing">
    <w:name w:val="No Spacing"/>
    <w:uiPriority w:val="1"/>
    <w:qFormat/>
    <w:rsid w:val="0021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2.archivists.org/pace-guidelines" TargetMode="Externa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3594</Words>
  <Characters>20492</Characters>
  <Application>Microsoft Office Word</Application>
  <DocSecurity>0</DocSecurity>
  <Lines>170</Lines>
  <Paragraphs>48</Paragraphs>
  <ScaleCrop>false</ScaleCrop>
  <Company/>
  <LinksUpToDate>false</LinksUpToDate>
  <CharactersWithSpaces>24038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T Olliff</cp:lastModifiedBy>
  <cp:revision>2</cp:revision>
  <dcterms:created xsi:type="dcterms:W3CDTF">2016-02-23T17:50:00Z</dcterms:created>
  <dcterms:modified xsi:type="dcterms:W3CDTF">2016-02-23T17:59:00Z</dcterms:modified>
</cp:coreProperties>
</file>